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-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290"/>
        <w:gridCol w:w="1980"/>
        <w:gridCol w:w="2250"/>
        <w:gridCol w:w="3690"/>
        <w:gridCol w:w="2430"/>
      </w:tblGrid>
      <w:tr w:rsidR="0070139B" w:rsidRPr="00581A9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139B" w:rsidRPr="00581A9C" w:rsidRDefault="0070139B" w:rsidP="00FB28E3">
            <w:pPr>
              <w:jc w:val="center"/>
              <w:rPr>
                <w:b/>
                <w:bCs/>
                <w:sz w:val="28"/>
                <w:szCs w:val="28"/>
              </w:rPr>
            </w:pPr>
            <w:r w:rsidRPr="00581A9C">
              <w:rPr>
                <w:b/>
                <w:bCs/>
                <w:sz w:val="28"/>
                <w:szCs w:val="28"/>
              </w:rPr>
              <w:t>Cantón Guayaquil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70139B" w:rsidRPr="00581A9C" w:rsidRDefault="0070139B" w:rsidP="00FB28E3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581A9C">
              <w:rPr>
                <w:b/>
                <w:sz w:val="28"/>
                <w:szCs w:val="28"/>
              </w:rPr>
              <w:t>Plan Cantonal de Emergencias y Contingencias</w:t>
            </w:r>
          </w:p>
          <w:p w:rsidR="0070139B" w:rsidRPr="00581A9C" w:rsidRDefault="0070139B" w:rsidP="00307431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581A9C">
              <w:rPr>
                <w:b/>
                <w:sz w:val="28"/>
                <w:szCs w:val="28"/>
              </w:rPr>
              <w:t>Manual de Protocolos del Sistema de Comando de Incidentes</w:t>
            </w:r>
          </w:p>
        </w:tc>
      </w:tr>
      <w:tr w:rsidR="0070139B" w:rsidRPr="00581A9C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70139B" w:rsidRPr="00581A9C" w:rsidRDefault="0070139B" w:rsidP="00FB28E3">
            <w:pPr>
              <w:jc w:val="center"/>
              <w:rPr>
                <w:b/>
                <w:bCs/>
                <w:sz w:val="22"/>
                <w:szCs w:val="22"/>
              </w:rPr>
            </w:pPr>
            <w:r w:rsidRPr="00581A9C">
              <w:rPr>
                <w:b/>
                <w:bCs/>
                <w:sz w:val="22"/>
                <w:szCs w:val="22"/>
              </w:rPr>
              <w:t>Nombre del protocolo: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70139B" w:rsidRPr="00581A9C" w:rsidRDefault="0070139B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581A9C">
              <w:rPr>
                <w:b/>
                <w:bCs/>
                <w:sz w:val="22"/>
                <w:szCs w:val="22"/>
              </w:rPr>
              <w:t>Actualizado a: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0139B" w:rsidRPr="00581A9C" w:rsidRDefault="0070139B" w:rsidP="00AA1A74">
            <w:pPr>
              <w:jc w:val="center"/>
              <w:rPr>
                <w:b/>
                <w:bCs/>
                <w:sz w:val="22"/>
                <w:szCs w:val="22"/>
              </w:rPr>
            </w:pPr>
            <w:r w:rsidRPr="00581A9C">
              <w:rPr>
                <w:b/>
                <w:bCs/>
                <w:sz w:val="22"/>
                <w:szCs w:val="22"/>
              </w:rPr>
              <w:t>Registro del protocolo: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0139B" w:rsidRPr="00581A9C" w:rsidRDefault="0070139B" w:rsidP="00AA1A74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581A9C">
              <w:rPr>
                <w:b/>
                <w:bCs/>
                <w:sz w:val="22"/>
                <w:szCs w:val="22"/>
              </w:rPr>
              <w:t>Institución Responsable:</w:t>
            </w:r>
          </w:p>
          <w:p w:rsidR="0070139B" w:rsidRPr="00581A9C" w:rsidRDefault="0070139B" w:rsidP="00AA1A74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0139B" w:rsidRPr="00581A9C" w:rsidRDefault="0070139B" w:rsidP="00FB28E3">
            <w:pPr>
              <w:jc w:val="center"/>
              <w:rPr>
                <w:b/>
                <w:bCs/>
                <w:sz w:val="22"/>
                <w:szCs w:val="22"/>
              </w:rPr>
            </w:pPr>
            <w:r w:rsidRPr="00581A9C">
              <w:rPr>
                <w:b/>
                <w:bCs/>
                <w:sz w:val="22"/>
                <w:szCs w:val="22"/>
              </w:rPr>
              <w:t>Páginas:</w:t>
            </w:r>
          </w:p>
        </w:tc>
      </w:tr>
      <w:tr w:rsidR="0070139B" w:rsidRPr="009F7E01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139B" w:rsidRPr="00581A9C" w:rsidRDefault="0070139B" w:rsidP="00FB28E3">
            <w:pPr>
              <w:jc w:val="center"/>
              <w:rPr>
                <w:sz w:val="22"/>
                <w:szCs w:val="22"/>
              </w:rPr>
            </w:pPr>
          </w:p>
          <w:p w:rsidR="0070139B" w:rsidRPr="009F7E01" w:rsidRDefault="0070139B" w:rsidP="00E10276">
            <w:pPr>
              <w:jc w:val="center"/>
              <w:rPr>
                <w:sz w:val="22"/>
                <w:szCs w:val="22"/>
              </w:rPr>
            </w:pPr>
            <w:r w:rsidRPr="009F7E01">
              <w:rPr>
                <w:b/>
                <w:sz w:val="22"/>
                <w:szCs w:val="22"/>
              </w:rPr>
              <w:t>Abastecimiento de A</w:t>
            </w:r>
            <w:r w:rsidR="00E10276">
              <w:rPr>
                <w:b/>
                <w:sz w:val="22"/>
                <w:szCs w:val="22"/>
              </w:rPr>
              <w:t>gua Potable</w:t>
            </w:r>
            <w:r w:rsidRPr="009F7E01">
              <w:rPr>
                <w:b/>
                <w:sz w:val="22"/>
                <w:szCs w:val="22"/>
              </w:rPr>
              <w:t xml:space="preserve"> por Tanqueros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70139B" w:rsidRPr="009F7E01" w:rsidRDefault="0070139B" w:rsidP="00FB28E3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70139B" w:rsidRPr="009F7E01" w:rsidRDefault="0070139B" w:rsidP="00581A9C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 w:rsidRPr="009F7E01">
              <w:rPr>
                <w:b/>
                <w:sz w:val="22"/>
                <w:szCs w:val="22"/>
              </w:rPr>
              <w:t>Jul-2010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0139B" w:rsidRPr="009F7E01" w:rsidRDefault="0070139B" w:rsidP="00FB28E3">
            <w:pPr>
              <w:jc w:val="center"/>
              <w:rPr>
                <w:sz w:val="22"/>
                <w:szCs w:val="22"/>
              </w:rPr>
            </w:pPr>
          </w:p>
          <w:p w:rsidR="0070139B" w:rsidRPr="009F7E01" w:rsidRDefault="0070139B" w:rsidP="00FB28E3">
            <w:pPr>
              <w:jc w:val="center"/>
              <w:rPr>
                <w:b/>
                <w:sz w:val="22"/>
                <w:szCs w:val="22"/>
              </w:rPr>
            </w:pPr>
            <w:r w:rsidRPr="009F7E01">
              <w:rPr>
                <w:b/>
                <w:sz w:val="22"/>
                <w:szCs w:val="22"/>
              </w:rPr>
              <w:t>AT - 001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0139B" w:rsidRPr="009F7E01" w:rsidRDefault="0070139B" w:rsidP="00FB28E3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70139B" w:rsidRPr="009F7E01" w:rsidRDefault="00CB7E05" w:rsidP="00FB28E3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Concesionaria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0139B" w:rsidRPr="009F7E01" w:rsidRDefault="0070139B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70139B" w:rsidRPr="009F7E01" w:rsidRDefault="0070139B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9F7E01">
              <w:rPr>
                <w:b/>
                <w:bCs/>
                <w:sz w:val="22"/>
                <w:szCs w:val="22"/>
              </w:rPr>
              <w:t xml:space="preserve">1 de </w:t>
            </w:r>
            <w:r w:rsidR="001366E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0139B" w:rsidRPr="009F7E01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  <w:r w:rsidRPr="009F7E01">
              <w:rPr>
                <w:b/>
                <w:bCs/>
                <w:sz w:val="22"/>
                <w:szCs w:val="22"/>
              </w:rPr>
              <w:t>Propósito:</w:t>
            </w:r>
          </w:p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0139B" w:rsidRPr="009F7E01" w:rsidRDefault="0070139B" w:rsidP="00FB28E3">
            <w:r w:rsidRPr="009F7E01">
              <w:t xml:space="preserve"> Establecer un proceso general a seguir por los grupos de primera respuesta en situaciones de abastecimiento de Agua Potable por medio de Tanqueros (Camiones Cisternas), </w:t>
            </w:r>
            <w:r>
              <w:t>una vez que se hay</w:t>
            </w:r>
            <w:r w:rsidRPr="009F7E01">
              <w:t xml:space="preserve">a superado la capacidad de respuesta de </w:t>
            </w:r>
            <w:r w:rsidR="00B161F4">
              <w:t xml:space="preserve">la </w:t>
            </w:r>
            <w:r w:rsidR="00CB7E05">
              <w:t>Concesionaria</w:t>
            </w:r>
          </w:p>
        </w:tc>
      </w:tr>
      <w:tr w:rsidR="0070139B" w:rsidRPr="009F7E01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  <w:r w:rsidRPr="009F7E01">
              <w:rPr>
                <w:b/>
                <w:bCs/>
                <w:sz w:val="22"/>
                <w:szCs w:val="22"/>
              </w:rPr>
              <w:t>Alcance:</w:t>
            </w:r>
          </w:p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0139B" w:rsidRPr="009F7E01" w:rsidRDefault="0070139B" w:rsidP="00FB28E3">
            <w:r w:rsidRPr="009F7E01">
              <w:t xml:space="preserve"> Cantón Guayaquil</w:t>
            </w:r>
            <w:r>
              <w:t xml:space="preserve"> (incluye parroquias rurales).</w:t>
            </w:r>
          </w:p>
        </w:tc>
      </w:tr>
      <w:tr w:rsidR="0070139B" w:rsidRPr="009F7E01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  <w:r w:rsidRPr="009F7E01">
              <w:rPr>
                <w:b/>
                <w:bCs/>
                <w:sz w:val="22"/>
                <w:szCs w:val="22"/>
              </w:rPr>
              <w:t>Prioridades:</w:t>
            </w:r>
          </w:p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</w:p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0139B" w:rsidRPr="009F7E01" w:rsidRDefault="0070139B" w:rsidP="00FB28E3">
            <w:r w:rsidRPr="009F7E01">
              <w:t xml:space="preserve"> 1.- Garantizar la correcta aplicación del Plan de Prevención y Atención de Emergencias de </w:t>
            </w:r>
            <w:r w:rsidR="00B161F4">
              <w:t xml:space="preserve">la </w:t>
            </w:r>
            <w:r w:rsidR="00CB7E05">
              <w:t>Concesionaria</w:t>
            </w:r>
            <w:r>
              <w:t xml:space="preserve"> (</w:t>
            </w:r>
            <w:r w:rsidRPr="009F7E01">
              <w:t>PPAEs).</w:t>
            </w:r>
          </w:p>
          <w:p w:rsidR="0070139B" w:rsidRPr="009F7E01" w:rsidRDefault="0070139B" w:rsidP="00E67D99">
            <w:r w:rsidRPr="009F7E01">
              <w:t xml:space="preserve"> 2.- Garantizar el abastecimiento mínimo vital de agua potable</w:t>
            </w:r>
            <w:r>
              <w:t xml:space="preserve"> a</w:t>
            </w:r>
            <w:r w:rsidRPr="009F7E01">
              <w:t xml:space="preserve"> Instituciones Especiales</w:t>
            </w:r>
            <w:r>
              <w:t xml:space="preserve"> (hospitales, cárceles, centros de salud, cuarteles, albergues, etc.)</w:t>
            </w:r>
            <w:r w:rsidRPr="009F7E01">
              <w:t xml:space="preserve">, cuando la afectación del servicio sea </w:t>
            </w:r>
            <w:r w:rsidR="00B161F4">
              <w:t>superior a ocho (8)</w:t>
            </w:r>
            <w:r w:rsidRPr="009F7E01">
              <w:t xml:space="preserve"> horas.</w:t>
            </w:r>
          </w:p>
          <w:p w:rsidR="0070139B" w:rsidRPr="009F7E01" w:rsidRDefault="0070139B" w:rsidP="00E67D99">
            <w:r w:rsidRPr="009F7E01">
              <w:t xml:space="preserve"> 3.- Garantizar el abastecimiento mínimo vital de agua potable a la población, cuando la afectación del</w:t>
            </w:r>
            <w:r>
              <w:t xml:space="preserve"> servicio sea mayor a 24 horas.</w:t>
            </w:r>
          </w:p>
          <w:p w:rsidR="0070139B" w:rsidRPr="009F7E01" w:rsidRDefault="0070139B" w:rsidP="00FB28E3">
            <w:r w:rsidRPr="009F7E01">
              <w:t xml:space="preserve"> 4.- Garantizar la integridad del personal y de los bienes públicos y privados que participen en esta actividad.</w:t>
            </w:r>
          </w:p>
          <w:p w:rsidR="0070139B" w:rsidRPr="009F7E01" w:rsidRDefault="0070139B" w:rsidP="00FB28E3">
            <w:r>
              <w:t xml:space="preserve"> 5.- Recuperar</w:t>
            </w:r>
            <w:r w:rsidRPr="009F7E01">
              <w:t xml:space="preserve"> la operatividad de Sistema de Distribución de Agua Potable</w:t>
            </w:r>
            <w:r>
              <w:t>.</w:t>
            </w:r>
          </w:p>
        </w:tc>
      </w:tr>
      <w:tr w:rsidR="0070139B" w:rsidRPr="009F7E01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  <w:r w:rsidRPr="009F7E01">
              <w:rPr>
                <w:b/>
                <w:bCs/>
                <w:sz w:val="22"/>
                <w:szCs w:val="22"/>
              </w:rPr>
              <w:t>Normas de seguridad:</w:t>
            </w:r>
          </w:p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70139B" w:rsidRPr="009F7E01" w:rsidRDefault="0070139B" w:rsidP="00FB28E3">
            <w:r w:rsidRPr="009F7E01">
              <w:t xml:space="preserve"> 1.- Nombrar un responsable de la seguridad en el </w:t>
            </w:r>
            <w:r>
              <w:t>lugar donde se abastecerán los tanqueros o camiones c</w:t>
            </w:r>
            <w:r w:rsidRPr="009F7E01">
              <w:t>isternas.</w:t>
            </w:r>
          </w:p>
          <w:p w:rsidR="0070139B" w:rsidRPr="009F7E01" w:rsidRDefault="0070139B" w:rsidP="00FB28E3">
            <w:r w:rsidRPr="009F7E01">
              <w:t xml:space="preserve"> 2-. Verificar que los Tanqueros o Camiones Cisternas estén en buenas condiciones físicas y mecánicas</w:t>
            </w:r>
            <w:r>
              <w:t>.</w:t>
            </w:r>
          </w:p>
          <w:p w:rsidR="0070139B" w:rsidRPr="009F7E01" w:rsidRDefault="0070139B" w:rsidP="00FB28E3">
            <w:r w:rsidRPr="009F7E01">
              <w:t xml:space="preserve"> 3.- Asegurar que la calidad del agua se mantenga al ingresar al tanque del </w:t>
            </w:r>
            <w:r>
              <w:t>tanquero y camión c</w:t>
            </w:r>
            <w:r w:rsidRPr="009F7E01">
              <w:t>isterna, para lo cual se re</w:t>
            </w:r>
            <w:r>
              <w:t>-clorará</w:t>
            </w:r>
            <w:r w:rsidRPr="009F7E01">
              <w:t xml:space="preserve"> in situ</w:t>
            </w:r>
            <w:r w:rsidR="00B00E87">
              <w:t xml:space="preserve"> </w:t>
            </w:r>
            <w:r w:rsidRPr="009F7E01">
              <w:t>con HTH</w:t>
            </w:r>
            <w:r w:rsidR="00B161F4">
              <w:t xml:space="preserve"> (hipoclorito de calcio) de ser el caso.</w:t>
            </w:r>
          </w:p>
          <w:p w:rsidR="0070139B" w:rsidRPr="009F7E01" w:rsidRDefault="0070139B" w:rsidP="00515B3D">
            <w:r w:rsidRPr="009F7E01">
              <w:t xml:space="preserve"> 4.- Usar todo el equipo de protección personal establecido por parte de todo el personal que intervenga en la tarea. </w:t>
            </w:r>
          </w:p>
          <w:p w:rsidR="0070139B" w:rsidRPr="009F7E01" w:rsidRDefault="0070139B" w:rsidP="00FB28E3">
            <w:r w:rsidRPr="009F7E01">
              <w:t xml:space="preserve"> 5.- Mantener estrictamente el número necesario del personal en función de disponibilidad del número de Camiones Cisternas. </w:t>
            </w:r>
          </w:p>
          <w:p w:rsidR="0070139B" w:rsidRPr="009F7E01" w:rsidRDefault="0070139B" w:rsidP="00FB28E3">
            <w:r>
              <w:t xml:space="preserve"> 6</w:t>
            </w:r>
            <w:r w:rsidRPr="009F7E01">
              <w:t>.- Evitar la injerencia de personas no autorizadas durante las tareas de abastecimiento por Tanqueros</w:t>
            </w:r>
            <w:r>
              <w:t>.</w:t>
            </w:r>
          </w:p>
        </w:tc>
      </w:tr>
      <w:tr w:rsidR="0070139B" w:rsidRPr="009F7E01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  <w:r w:rsidRPr="009F7E01">
              <w:rPr>
                <w:b/>
                <w:bCs/>
                <w:sz w:val="22"/>
                <w:szCs w:val="22"/>
              </w:rPr>
              <w:t>Acciones de preparación conjunta: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39B" w:rsidRPr="009F7E01" w:rsidRDefault="0070139B" w:rsidP="00BE5086">
            <w:r w:rsidRPr="009F7E01">
              <w:t xml:space="preserve"> 1.- Establecer un programa de coordinación entre las autoridades representantes de las entidades involucradas.</w:t>
            </w:r>
          </w:p>
          <w:p w:rsidR="0070139B" w:rsidRPr="009F7E01" w:rsidRDefault="0070139B" w:rsidP="00BE5086">
            <w:r w:rsidRPr="009F7E01">
              <w:t xml:space="preserve"> 2.- Capacitar al personal de primera respuesta involucrado, en el abastecimiento de AA. PP. por medio de Tanqueros.</w:t>
            </w:r>
          </w:p>
          <w:p w:rsidR="0070139B" w:rsidRPr="009F7E01" w:rsidRDefault="0070139B" w:rsidP="00BE5086">
            <w:r w:rsidRPr="009F7E01">
              <w:t xml:space="preserve"> 3.- Establecer los medios necesarios y su coordinación</w:t>
            </w:r>
            <w:r w:rsidR="00B00E87">
              <w:t xml:space="preserve"> </w:t>
            </w:r>
            <w:r w:rsidRPr="009F7E01">
              <w:t xml:space="preserve">para responder ante la necesidad de dotar de Agua Potable a los habitantes de Guayaquil, en momentos que se encuentre afectado el Sistema de distribución por redes públicas. </w:t>
            </w:r>
          </w:p>
          <w:p w:rsidR="0070139B" w:rsidRPr="009F7E01" w:rsidRDefault="0070139B" w:rsidP="006D2392">
            <w:r w:rsidRPr="009F7E01">
              <w:t xml:space="preserve"> 4.- Establecer programas de m</w:t>
            </w:r>
            <w:r>
              <w:t>antenimiento de los tanqueros o</w:t>
            </w:r>
            <w:r w:rsidRPr="009F7E01">
              <w:t xml:space="preserve"> </w:t>
            </w:r>
            <w:r>
              <w:t>camiones c</w:t>
            </w:r>
            <w:r w:rsidRPr="009F7E01">
              <w:t>isternas para enfrentar un abastecimiento por este medio alternativo.</w:t>
            </w:r>
          </w:p>
        </w:tc>
      </w:tr>
      <w:tr w:rsidR="0070139B" w:rsidRPr="00581A9C">
        <w:trPr>
          <w:cantSplit/>
          <w:trHeight w:val="28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  <w:r w:rsidRPr="009F7E01">
              <w:rPr>
                <w:b/>
                <w:bCs/>
                <w:sz w:val="22"/>
                <w:szCs w:val="22"/>
              </w:rPr>
              <w:lastRenderedPageBreak/>
              <w:t>Anotaciones:</w:t>
            </w:r>
          </w:p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</w:p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</w:p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</w:p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</w:p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</w:p>
          <w:p w:rsidR="0070139B" w:rsidRPr="009F7E01" w:rsidRDefault="0070139B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39B" w:rsidRPr="009F7E01" w:rsidRDefault="0070139B" w:rsidP="00FB28E3">
            <w:r w:rsidRPr="009F7E01">
              <w:t>Este protocolo es un acuerdo entre instituciones. No sustituye el entrenamiento ni las decisiones de coordinación en el terreno.</w:t>
            </w:r>
          </w:p>
          <w:p w:rsidR="0070139B" w:rsidRPr="009F7E01" w:rsidRDefault="0070139B" w:rsidP="00FB28E3">
            <w:r w:rsidRPr="009F7E01">
              <w:t xml:space="preserve"> Cada entidad es responsable de sus procedimientos operativos, la implementación de los mismos y la evaluación de sus operaciones.</w:t>
            </w:r>
          </w:p>
          <w:p w:rsidR="0070139B" w:rsidRPr="009F7E01" w:rsidRDefault="0070139B" w:rsidP="00FB28E3"/>
          <w:p w:rsidR="0070139B" w:rsidRPr="009F7E01" w:rsidRDefault="0070139B" w:rsidP="00FB28E3">
            <w:r w:rsidRPr="009F7E01">
              <w:t>Este protocolo será sujeto a revisión anualmente y será el equipo técnico quien pueda modificarlo en cualquiera de sus partes.</w:t>
            </w:r>
          </w:p>
          <w:p w:rsidR="0070139B" w:rsidRPr="009F7E01" w:rsidRDefault="0070139B" w:rsidP="00FB28E3">
            <w:r w:rsidRPr="009F7E01">
              <w:t>Cualquier sugerencia o aporte a este protocolo dirigirse a :</w:t>
            </w:r>
          </w:p>
          <w:p w:rsidR="0070139B" w:rsidRPr="009F7E01" w:rsidRDefault="0070139B" w:rsidP="00FB28E3"/>
          <w:p w:rsidR="0070139B" w:rsidRPr="009F7E01" w:rsidRDefault="0070139B" w:rsidP="00AF4181">
            <w:pPr>
              <w:jc w:val="right"/>
              <w:rPr>
                <w:b/>
              </w:rPr>
            </w:pPr>
            <w:r w:rsidRPr="009F7E01">
              <w:rPr>
                <w:b/>
              </w:rPr>
              <w:t xml:space="preserve">Equipo Técnico SCI: CSCG, Av. J.T. Marengo </w:t>
            </w:r>
          </w:p>
          <w:p w:rsidR="0070139B" w:rsidRPr="009F7E01" w:rsidRDefault="0070139B" w:rsidP="00AF4181">
            <w:pPr>
              <w:jc w:val="right"/>
              <w:rPr>
                <w:b/>
              </w:rPr>
            </w:pPr>
            <w:r w:rsidRPr="009F7E01">
              <w:rPr>
                <w:b/>
              </w:rPr>
              <w:t>Telf. (593 – 4) 2598001</w:t>
            </w:r>
          </w:p>
          <w:p w:rsidR="0070139B" w:rsidRPr="009F7E01" w:rsidRDefault="0070139B" w:rsidP="00AF4181">
            <w:pPr>
              <w:jc w:val="right"/>
              <w:rPr>
                <w:b/>
              </w:rPr>
            </w:pPr>
            <w:r w:rsidRPr="009F7E01">
              <w:rPr>
                <w:b/>
              </w:rPr>
              <w:t xml:space="preserve">procesoscigye@guayaquil.gov.ec </w:t>
            </w:r>
          </w:p>
          <w:p w:rsidR="0070139B" w:rsidRPr="00581A9C" w:rsidRDefault="0070139B" w:rsidP="00AF4181">
            <w:pPr>
              <w:jc w:val="right"/>
            </w:pPr>
            <w:r w:rsidRPr="009F7E01">
              <w:rPr>
                <w:b/>
              </w:rPr>
              <w:t>Guayaquil - Ecuador</w:t>
            </w:r>
          </w:p>
        </w:tc>
      </w:tr>
    </w:tbl>
    <w:p w:rsidR="0070139B" w:rsidRPr="00581A9C" w:rsidRDefault="0070139B">
      <w:pPr>
        <w:rPr>
          <w:sz w:val="32"/>
        </w:rPr>
      </w:pPr>
      <w:r w:rsidRPr="00581A9C">
        <w:br w:type="page"/>
      </w:r>
      <w:r w:rsidRPr="00581A9C">
        <w:rPr>
          <w:rFonts w:eastAsia="Arial Unicode MS" w:cs="Arial"/>
          <w:b/>
          <w:bCs/>
          <w:sz w:val="32"/>
          <w:szCs w:val="24"/>
        </w:rPr>
        <w:lastRenderedPageBreak/>
        <w:t>PROTOCOLO EM - 001</w:t>
      </w:r>
    </w:p>
    <w:tbl>
      <w:tblPr>
        <w:tblW w:w="14098" w:type="dxa"/>
        <w:tblInd w:w="-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4"/>
        <w:gridCol w:w="8884"/>
        <w:gridCol w:w="357"/>
        <w:gridCol w:w="288"/>
        <w:gridCol w:w="288"/>
        <w:gridCol w:w="275"/>
        <w:gridCol w:w="276"/>
        <w:gridCol w:w="319"/>
        <w:gridCol w:w="280"/>
        <w:gridCol w:w="280"/>
        <w:gridCol w:w="280"/>
        <w:gridCol w:w="237"/>
        <w:gridCol w:w="270"/>
      </w:tblGrid>
      <w:tr w:rsidR="0008022A" w:rsidRPr="00581A9C" w:rsidTr="0008022A">
        <w:trPr>
          <w:cantSplit/>
        </w:trPr>
        <w:tc>
          <w:tcPr>
            <w:tcW w:w="20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022A" w:rsidRPr="00581A9C" w:rsidRDefault="00B00E87">
            <w:pPr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  </w:t>
            </w:r>
            <w:r w:rsidR="0008022A" w:rsidRPr="00581A9C">
              <w:rPr>
                <w:rFonts w:cs="Arial"/>
                <w:b/>
                <w:bCs/>
                <w:sz w:val="28"/>
              </w:rPr>
              <w:t xml:space="preserve"> </w:t>
            </w:r>
          </w:p>
          <w:p w:rsidR="0008022A" w:rsidRPr="00581A9C" w:rsidRDefault="0008022A">
            <w:pPr>
              <w:rPr>
                <w:rFonts w:cs="Arial"/>
                <w:b/>
                <w:bCs/>
                <w:sz w:val="28"/>
              </w:rPr>
            </w:pPr>
          </w:p>
          <w:p w:rsidR="0008022A" w:rsidRPr="00581A9C" w:rsidRDefault="0008022A">
            <w:pPr>
              <w:rPr>
                <w:rFonts w:cs="Arial"/>
                <w:b/>
                <w:bCs/>
                <w:sz w:val="28"/>
              </w:rPr>
            </w:pPr>
          </w:p>
          <w:p w:rsidR="0008022A" w:rsidRPr="00581A9C" w:rsidRDefault="0008022A">
            <w:pPr>
              <w:rPr>
                <w:rFonts w:cs="Arial"/>
                <w:b/>
                <w:bCs/>
                <w:sz w:val="28"/>
              </w:rPr>
            </w:pPr>
          </w:p>
          <w:p w:rsidR="0008022A" w:rsidRPr="00581A9C" w:rsidRDefault="0008022A">
            <w:pPr>
              <w:rPr>
                <w:rFonts w:cs="Arial"/>
                <w:b/>
                <w:bCs/>
                <w:sz w:val="28"/>
              </w:rPr>
            </w:pPr>
          </w:p>
          <w:p w:rsidR="0008022A" w:rsidRPr="00581A9C" w:rsidRDefault="0008022A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  <w:r w:rsidRPr="00581A9C">
              <w:rPr>
                <w:rFonts w:cs="Arial"/>
                <w:b/>
                <w:bCs/>
                <w:sz w:val="28"/>
              </w:rPr>
              <w:t>FUNCIONES</w:t>
            </w:r>
          </w:p>
        </w:tc>
        <w:tc>
          <w:tcPr>
            <w:tcW w:w="88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08022A" w:rsidRPr="00581A9C" w:rsidRDefault="0008022A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08022A" w:rsidRPr="00581A9C" w:rsidRDefault="0008022A">
            <w:pPr>
              <w:pStyle w:val="Subheading"/>
              <w:keepNext w:val="0"/>
              <w:tabs>
                <w:tab w:val="clear" w:pos="8640"/>
              </w:tabs>
              <w:spacing w:before="0"/>
              <w:rPr>
                <w:rFonts w:eastAsia="Arial Unicode MS" w:cs="Arial"/>
                <w:bCs/>
                <w:szCs w:val="24"/>
              </w:rPr>
            </w:pPr>
          </w:p>
          <w:p w:rsidR="0008022A" w:rsidRPr="00581A9C" w:rsidRDefault="0008022A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08022A" w:rsidRPr="00581A9C" w:rsidRDefault="0008022A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08022A" w:rsidRPr="00581A9C" w:rsidRDefault="0008022A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08022A" w:rsidRPr="00581A9C" w:rsidRDefault="0008022A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  <w:r w:rsidRPr="00581A9C">
              <w:rPr>
                <w:rFonts w:eastAsia="Arial Unicode MS" w:cs="Arial"/>
                <w:b/>
                <w:bCs/>
                <w:sz w:val="28"/>
                <w:szCs w:val="24"/>
              </w:rPr>
              <w:t>Acciones esperadas de cada institución</w:t>
            </w:r>
          </w:p>
        </w:tc>
        <w:tc>
          <w:tcPr>
            <w:tcW w:w="315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8022A" w:rsidRPr="00581A9C" w:rsidRDefault="00AE0F1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Responsables y apoyo</w:t>
            </w:r>
            <w:r w:rsidR="0008022A" w:rsidRPr="00581A9C">
              <w:rPr>
                <w:b/>
                <w:bCs/>
                <w:sz w:val="24"/>
              </w:rPr>
              <w:t>:</w:t>
            </w:r>
          </w:p>
        </w:tc>
      </w:tr>
      <w:tr w:rsidR="0008022A" w:rsidRPr="00581A9C" w:rsidTr="0008022A">
        <w:trPr>
          <w:cantSplit/>
        </w:trPr>
        <w:tc>
          <w:tcPr>
            <w:tcW w:w="20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22A" w:rsidRPr="00581A9C" w:rsidRDefault="0008022A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88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22A" w:rsidRPr="00581A9C" w:rsidRDefault="0008022A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2A" w:rsidRPr="00581A9C" w:rsidRDefault="0008022A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22A" w:rsidRPr="00581A9C" w:rsidRDefault="0008022A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2A" w:rsidRPr="00581A9C" w:rsidRDefault="0008022A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2A" w:rsidRPr="00581A9C" w:rsidRDefault="0008022A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2A" w:rsidRPr="00581A9C" w:rsidRDefault="0008022A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2A" w:rsidRPr="00581A9C" w:rsidRDefault="0008022A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2A" w:rsidRPr="00581A9C" w:rsidRDefault="0008022A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2A" w:rsidRPr="00581A9C" w:rsidRDefault="0008022A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2A" w:rsidRPr="00581A9C" w:rsidRDefault="0008022A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2A" w:rsidRPr="00581A9C" w:rsidRDefault="0008022A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581A9C" w:rsidRDefault="0008022A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11</w:t>
            </w:r>
          </w:p>
        </w:tc>
      </w:tr>
      <w:tr w:rsidR="0008022A" w:rsidRPr="00581A9C" w:rsidTr="0008022A">
        <w:trPr>
          <w:cantSplit/>
          <w:trHeight w:val="1349"/>
        </w:trPr>
        <w:tc>
          <w:tcPr>
            <w:tcW w:w="20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22A" w:rsidRPr="00581A9C" w:rsidRDefault="0008022A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88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22A" w:rsidRPr="00581A9C" w:rsidRDefault="0008022A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8022A" w:rsidRPr="00581A9C" w:rsidRDefault="0008022A" w:rsidP="00146BB6">
            <w:pPr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CTG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8022A" w:rsidRPr="00581A9C" w:rsidRDefault="0008022A" w:rsidP="00146BB6">
            <w:pPr>
              <w:pStyle w:val="Text1"/>
              <w:keepLines w:val="0"/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PPNN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8022A" w:rsidRPr="00581A9C" w:rsidRDefault="0008022A" w:rsidP="00146BB6">
            <w:pPr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BCBG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8022A" w:rsidRPr="00581A9C" w:rsidRDefault="0008022A" w:rsidP="00146BB6">
            <w:pPr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Cruz Roja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8022A" w:rsidRPr="00581A9C" w:rsidRDefault="00AE0F16" w:rsidP="00146BB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SNGR (U. Resp.)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8022A" w:rsidRPr="00581A9C" w:rsidRDefault="0008022A" w:rsidP="00146BB6">
            <w:pPr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FFAA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8022A" w:rsidRPr="00581A9C" w:rsidRDefault="0008022A" w:rsidP="00146BB6">
            <w:pPr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Serv. Bás.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8022A" w:rsidRPr="00581A9C" w:rsidRDefault="0008022A" w:rsidP="00146BB6">
            <w:pPr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Hospitales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8022A" w:rsidRPr="00581A9C" w:rsidRDefault="0008022A" w:rsidP="00146BB6">
            <w:pPr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Promotores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8022A" w:rsidRPr="00581A9C" w:rsidRDefault="0008022A" w:rsidP="00146BB6">
            <w:pPr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CSCG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08022A" w:rsidRPr="00581A9C" w:rsidRDefault="0008022A" w:rsidP="00146BB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COE Cantonal</w:t>
            </w:r>
          </w:p>
        </w:tc>
      </w:tr>
      <w:tr w:rsidR="0008022A" w:rsidRPr="00581A9C" w:rsidTr="0008022A"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581A9C" w:rsidRDefault="0008022A">
            <w:p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1. Activación</w:t>
            </w: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581A9C" w:rsidRDefault="0008022A" w:rsidP="00AF4181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COE de Concesionaria activa fase de apoyo interinstitucional por haber superado su capacidad de respuesta en abastecimiento alternativo por Tanqueros.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581A9C" w:rsidTr="0008022A">
        <w:tc>
          <w:tcPr>
            <w:tcW w:w="20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581A9C" w:rsidRDefault="0008022A">
            <w:pPr>
              <w:rPr>
                <w:rFonts w:eastAsia="Arial Unicode MS"/>
              </w:rPr>
            </w:pP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581A9C" w:rsidRDefault="0008022A" w:rsidP="00AF4181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D416CC">
              <w:rPr>
                <w:rFonts w:eastAsia="Arial Unicode MS"/>
              </w:rPr>
              <w:t>CECOM</w:t>
            </w:r>
            <w:r>
              <w:rPr>
                <w:rFonts w:eastAsia="Arial Unicode MS"/>
              </w:rPr>
              <w:t xml:space="preserve"> (C</w:t>
            </w:r>
            <w:r w:rsidRPr="00D416CC">
              <w:rPr>
                <w:rFonts w:eastAsia="Arial Unicode MS"/>
              </w:rPr>
              <w:t xml:space="preserve">entro de Comunicación de </w:t>
            </w:r>
            <w:r>
              <w:rPr>
                <w:rFonts w:eastAsia="Arial Unicode MS"/>
              </w:rPr>
              <w:t>Concesionaria</w:t>
            </w:r>
            <w:r w:rsidRPr="00D416CC">
              <w:rPr>
                <w:rFonts w:eastAsia="Arial Unicode MS"/>
              </w:rPr>
              <w:t xml:space="preserve">) </w:t>
            </w:r>
            <w:r>
              <w:rPr>
                <w:rFonts w:eastAsia="Arial Unicode MS"/>
              </w:rPr>
              <w:t>se comunica</w:t>
            </w:r>
            <w:r w:rsidRPr="00D416CC">
              <w:rPr>
                <w:rFonts w:eastAsia="Arial Unicode MS"/>
              </w:rPr>
              <w:t xml:space="preserve"> con</w:t>
            </w:r>
            <w:r>
              <w:rPr>
                <w:rFonts w:eastAsia="Arial Unicode MS"/>
              </w:rPr>
              <w:t xml:space="preserve"> la Central de Coordinación de emergencias 1-1-2, solicitando apoyo de unidades de Tanqueros, indicando número de unidades requeridas, puntos de abasteciendo y datos del Responsable del Punto de Abastecimiento, número de unidades por cada punto de abastecimiento.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D416CC" w:rsidTr="0008022A">
        <w:tc>
          <w:tcPr>
            <w:tcW w:w="20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581A9C" w:rsidRDefault="0008022A">
            <w:pPr>
              <w:rPr>
                <w:rFonts w:eastAsia="Arial Unicode MS"/>
              </w:rPr>
            </w:pP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D416CC" w:rsidRDefault="0008022A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En función del número de unidades solicitadas por cada punto de abastecimiento, Concesionaria designará un operario para el despacho de agua</w:t>
            </w:r>
            <w:r w:rsidR="00B00E87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en cada Tanquero.</w:t>
            </w:r>
            <w:r w:rsidRPr="00D416CC">
              <w:rPr>
                <w:rFonts w:eastAsia="Arial Unicode MS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D416CC" w:rsidTr="0008022A"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581A9C" w:rsidRDefault="0008022A">
            <w:pPr>
              <w:rPr>
                <w:rFonts w:eastAsia="Arial Unicode MS"/>
              </w:rPr>
            </w:pP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D416CC" w:rsidRDefault="0008022A" w:rsidP="00DC20B1">
            <w:pPr>
              <w:pStyle w:val="Text1"/>
              <w:keepLines w:val="0"/>
              <w:numPr>
                <w:ilvl w:val="0"/>
                <w:numId w:val="18"/>
              </w:numPr>
              <w:tabs>
                <w:tab w:val="clear" w:pos="720"/>
                <w:tab w:val="num" w:pos="373"/>
              </w:tabs>
              <w:ind w:left="373" w:hanging="373"/>
              <w:rPr>
                <w:rFonts w:eastAsia="Arial Unicode MS"/>
              </w:rPr>
            </w:pPr>
            <w:r>
              <w:rPr>
                <w:rFonts w:eastAsia="Arial Unicode MS"/>
              </w:rPr>
              <w:t>Gerente General de Concesionaria formaliza por Escrito la situación de emergencia ante el COE Cantonal*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D416C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581A9C" w:rsidTr="0008022A"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581A9C" w:rsidRDefault="0008022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2. Designación de Unidades o Tanqueros por cada Institución</w:t>
            </w: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581A9C" w:rsidRDefault="0008022A" w:rsidP="00F67099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El COE cantonal se contacta con las otras instituciones que cuentan con el Recurso Tanqueros, y solicita su apoyo en función del requerimiento comunicado por Concesionaria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08022A" w:rsidRPr="00581A9C" w:rsidTr="0008022A"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tbl>
            <w:tblPr>
              <w:tblW w:w="0" w:type="auto"/>
              <w:tblLayout w:type="fixed"/>
              <w:tblLook w:val="01E0"/>
            </w:tblPr>
            <w:tblGrid>
              <w:gridCol w:w="2055"/>
            </w:tblGrid>
            <w:tr w:rsidR="0008022A" w:rsidTr="00DD11E6">
              <w:tc>
                <w:tcPr>
                  <w:tcW w:w="2055" w:type="dxa"/>
                </w:tcPr>
                <w:p w:rsidR="0008022A" w:rsidRPr="00FD3D17" w:rsidRDefault="0008022A">
                  <w:pPr>
                    <w:rPr>
                      <w:rFonts w:eastAsia="Arial Unicode MS"/>
                    </w:rPr>
                  </w:pPr>
                </w:p>
              </w:tc>
            </w:tr>
          </w:tbl>
          <w:p w:rsidR="0008022A" w:rsidRPr="00581A9C" w:rsidRDefault="0008022A">
            <w:pPr>
              <w:rPr>
                <w:rFonts w:eastAsia="Arial Unicode MS"/>
              </w:rPr>
            </w:pP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581A9C" w:rsidRDefault="0008022A" w:rsidP="00F67099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Definido los recursos con los que apoyará cada institución, el COE comunica a cada institución el punto de abastecimiento designado.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08022A" w:rsidRPr="00581A9C" w:rsidTr="0008022A"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581A9C" w:rsidRDefault="0008022A">
            <w:pPr>
              <w:rPr>
                <w:rFonts w:eastAsia="Arial Unicode MS"/>
              </w:rPr>
            </w:pP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581A9C" w:rsidRDefault="0008022A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El COE comunica al CECOM de Concesionaria el número de Tanqueros (incluyendo conductor) que apoyará en el abastecimiento alternativo.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22A" w:rsidRDefault="0008022A" w:rsidP="00B161F4">
            <w:pPr>
              <w:jc w:val="center"/>
            </w:pPr>
            <w:r w:rsidRPr="008264D2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08022A" w:rsidRPr="00581A9C" w:rsidTr="0008022A"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581A9C" w:rsidRDefault="0008022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Pr="00581A9C">
              <w:rPr>
                <w:rFonts w:eastAsia="Arial Unicode MS"/>
              </w:rPr>
              <w:t>.</w:t>
            </w:r>
            <w:r>
              <w:rPr>
                <w:rFonts w:eastAsia="Arial Unicode MS"/>
              </w:rPr>
              <w:t xml:space="preserve"> Arribo a los Puntos de Abastecimiento</w:t>
            </w: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581A9C" w:rsidRDefault="0008022A" w:rsidP="00F67099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La concesionaria informará al COE cantonal las rutas sugeridas para el abastecimiento del líquido vital para su aprobación y disposición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581A9C" w:rsidTr="0008022A"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Default="0008022A">
            <w:pPr>
              <w:rPr>
                <w:rFonts w:eastAsia="Arial Unicode MS"/>
              </w:rPr>
            </w:pP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Default="0008022A" w:rsidP="00F67099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La concesionaria, definirá la ruta seguir por cada Tanquero en cada cargada de líquido vital, información que será proporcionada tanto al Conductor del Tanquero, como al operario del despacho.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581A9C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581A9C" w:rsidTr="0008022A"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581A9C" w:rsidRDefault="0008022A">
            <w:pPr>
              <w:rPr>
                <w:rFonts w:eastAsia="Arial Unicode MS"/>
              </w:rPr>
            </w:pP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581A9C" w:rsidRDefault="0008022A" w:rsidP="00FA7077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En instantes que arribe un Tanquero al Punto de Abastecimiento, el Responsable del Punto de Abastecimiento, registrara la unidad en formato preestablecido y designará un operario para el despacho, quien acompañará al Tanquero en su actividad de abastecimiento alternativo de AA. PP.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DD11E6" w:rsidTr="0008022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DD11E6" w:rsidRDefault="0008022A">
            <w:pPr>
              <w:rPr>
                <w:rFonts w:eastAsia="Arial Unicode MS"/>
              </w:rPr>
            </w:pPr>
            <w:r w:rsidRPr="00DD11E6">
              <w:rPr>
                <w:rFonts w:eastAsia="Arial Unicode MS"/>
              </w:rPr>
              <w:t>4. Comunicación</w:t>
            </w: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DD11E6" w:rsidRDefault="0008022A" w:rsidP="00AF4181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  <w:bCs/>
              </w:rPr>
            </w:pPr>
            <w:r w:rsidRPr="00DD11E6">
              <w:rPr>
                <w:rFonts w:eastAsia="Arial Unicode MS"/>
                <w:bCs/>
              </w:rPr>
              <w:t>La Concesionaria, mediante comunicados de prensa, mantendrá informada a la Comunidad, sobre el Abastecimiento por Tanqueros, en función de las rutas establecidas por el COE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DD11E6" w:rsidTr="0008022A"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DD11E6" w:rsidRDefault="0008022A">
            <w:pPr>
              <w:rPr>
                <w:rFonts w:eastAsia="Arial Unicode MS"/>
              </w:rPr>
            </w:pPr>
            <w:r w:rsidRPr="00DD11E6">
              <w:rPr>
                <w:rFonts w:eastAsia="Arial Unicode MS"/>
              </w:rPr>
              <w:t xml:space="preserve">5. Abastecimiento o despacho de agua </w:t>
            </w:r>
            <w:r w:rsidRPr="00DD11E6">
              <w:rPr>
                <w:rFonts w:eastAsia="Arial Unicode MS"/>
              </w:rPr>
              <w:lastRenderedPageBreak/>
              <w:t>potable por Tanqueros</w:t>
            </w: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DD11E6" w:rsidRDefault="0008022A" w:rsidP="00AF4181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  <w:bCs/>
              </w:rPr>
            </w:pPr>
            <w:r w:rsidRPr="00DD11E6">
              <w:rPr>
                <w:rFonts w:eastAsia="Arial Unicode MS"/>
                <w:bCs/>
              </w:rPr>
              <w:lastRenderedPageBreak/>
              <w:t xml:space="preserve">En función de las rutas definida por el COE, cada Tanquero efectuará la entrega del liquido vital, en las condiciones de necesidades básicas de abastecimiento de agua potable según lo </w:t>
            </w:r>
            <w:r w:rsidRPr="00DD11E6">
              <w:rPr>
                <w:rFonts w:eastAsia="Arial Unicode MS"/>
                <w:bCs/>
              </w:rPr>
              <w:lastRenderedPageBreak/>
              <w:t>que cita el Proyecto Esfera; para este efecto, se dará resguardo tanto por la PP. NN., CTG, Fuerzas Armadas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lastRenderedPageBreak/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DD11E6" w:rsidTr="0008022A"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DD11E6" w:rsidRDefault="0008022A">
            <w:pPr>
              <w:rPr>
                <w:rFonts w:eastAsia="Arial Unicode MS"/>
              </w:rPr>
            </w:pP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DD11E6" w:rsidRDefault="0008022A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  <w:bCs/>
              </w:rPr>
            </w:pPr>
            <w:r w:rsidRPr="00DD11E6">
              <w:rPr>
                <w:rFonts w:eastAsia="Arial Unicode MS"/>
                <w:bCs/>
              </w:rPr>
              <w:t xml:space="preserve">El operario de despacho de agua de cada Tanquero, llevará registro de las entregas por viaje realizado, para lo cual utilizará el formulario previsto para tal actividad en el </w:t>
            </w:r>
            <w:r w:rsidRPr="00DD11E6">
              <w:rPr>
                <w:bCs/>
              </w:rPr>
              <w:t>Plan de Prevención y Atención de Emergencias de Concesionaria (PPAEs).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DD11E6" w:rsidTr="0008022A"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DD11E6" w:rsidRDefault="0008022A">
            <w:pPr>
              <w:rPr>
                <w:rFonts w:eastAsia="Arial Unicode MS"/>
              </w:rPr>
            </w:pP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DD11E6" w:rsidRDefault="0008022A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  <w:bCs/>
              </w:rPr>
            </w:pPr>
            <w:r w:rsidRPr="00DD11E6">
              <w:rPr>
                <w:rFonts w:eastAsia="Arial Unicode MS"/>
                <w:bCs/>
              </w:rPr>
              <w:t>De requerirse modificación de la ruta durante el despacho del Tanquero, el operario comunicará al Responsable del punto de Abastecimiento, quien comunicará vía radio al CECOM de Concesionaria y este por medio de la CSCG al COE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DD11E6" w:rsidTr="0008022A"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DD11E6" w:rsidRDefault="0008022A">
            <w:pPr>
              <w:rPr>
                <w:rFonts w:eastAsia="Arial Unicode MS"/>
              </w:rPr>
            </w:pPr>
            <w:r w:rsidRPr="00DD11E6">
              <w:rPr>
                <w:rFonts w:eastAsia="Arial Unicode MS"/>
              </w:rPr>
              <w:t>6.- Cierre de Operaciones</w:t>
            </w: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DD11E6" w:rsidRDefault="0008022A" w:rsidP="00652D45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  <w:bCs/>
              </w:rPr>
            </w:pPr>
            <w:r w:rsidRPr="00DD11E6">
              <w:rPr>
                <w:rFonts w:eastAsia="Arial Unicode MS"/>
                <w:bCs/>
              </w:rPr>
              <w:t>CECOM (Centro de Comunicación de Concesionaria) se comunica con la Central de Coordinación de emergencias 1-1-2 y esta a su vez con el COE informando que se ha recuperado el servicio por la red publica de distribución de Agua Potable.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DD11E6" w:rsidTr="0008022A"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DD11E6" w:rsidRDefault="0008022A" w:rsidP="00DD0998">
            <w:pPr>
              <w:rPr>
                <w:rFonts w:eastAsia="Arial Unicode MS"/>
              </w:rPr>
            </w:pP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DD11E6" w:rsidRDefault="0008022A" w:rsidP="00146BB6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  <w:bCs/>
              </w:rPr>
            </w:pPr>
            <w:r w:rsidRPr="00DD11E6">
              <w:rPr>
                <w:rFonts w:eastAsia="Arial Unicode MS"/>
                <w:bCs/>
              </w:rPr>
              <w:t>COE dispone el cierre de operaciones y el retorno de los Tanqueros a sus respectivas instituciones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08022A" w:rsidRPr="00DD11E6" w:rsidTr="0008022A"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DD11E6" w:rsidRDefault="0008022A" w:rsidP="00DD0998">
            <w:pPr>
              <w:rPr>
                <w:rFonts w:eastAsia="Arial Unicode MS"/>
              </w:rPr>
            </w:pP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DD11E6" w:rsidRDefault="0008022A" w:rsidP="00DD0998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  <w:bCs/>
              </w:rPr>
            </w:pPr>
            <w:r w:rsidRPr="00DD11E6">
              <w:rPr>
                <w:rFonts w:eastAsia="Arial Unicode MS"/>
                <w:bCs/>
              </w:rPr>
              <w:t>CECOM comunica el cierre de operaciones dispuesto por el COE a los Responsables de los puntos de abastecimiento, quien comunica a los miembros de cada Tanquero el cese de actividades y el retorno de unidades a cada institución.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DD11E6" w:rsidTr="0008022A"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DD11E6" w:rsidRDefault="0008022A">
            <w:pPr>
              <w:rPr>
                <w:rFonts w:eastAsia="Arial Unicode MS"/>
              </w:rPr>
            </w:pP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DD11E6" w:rsidRDefault="0008022A" w:rsidP="00146BB6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  <w:bCs/>
              </w:rPr>
            </w:pPr>
            <w:r w:rsidRPr="00DD11E6">
              <w:rPr>
                <w:rFonts w:eastAsia="Arial Unicode MS"/>
                <w:bCs/>
              </w:rPr>
              <w:t xml:space="preserve">Los responsables de los puntos de abastecimiento recolectan los registros de las entregas realizada por cada Tanquero y elaboran informe sobra la operación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DD11E6" w:rsidTr="00B00E87"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DD11E6" w:rsidRDefault="0008022A">
            <w:pPr>
              <w:rPr>
                <w:rFonts w:eastAsia="Arial Unicode MS"/>
              </w:rPr>
            </w:pP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DD11E6" w:rsidRDefault="0008022A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  <w:bCs/>
              </w:rPr>
            </w:pPr>
            <w:r w:rsidRPr="00DD11E6">
              <w:rPr>
                <w:rFonts w:eastAsia="Arial Unicode MS"/>
                <w:bCs/>
              </w:rPr>
              <w:t>Gerente General de Concesionaria formaliza por escrito el retorno normal de la distribución del Agua Potable por la red pública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DD11E6" w:rsidTr="00B00E87"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DD11E6" w:rsidRDefault="0008022A">
            <w:pPr>
              <w:rPr>
                <w:rFonts w:eastAsia="Arial Unicode MS"/>
              </w:rPr>
            </w:pPr>
            <w:r w:rsidRPr="00DD11E6">
              <w:rPr>
                <w:rFonts w:eastAsia="Arial Unicode MS"/>
              </w:rPr>
              <w:t>7. Consolidación de información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22A" w:rsidRPr="00DD11E6" w:rsidRDefault="0008022A" w:rsidP="00856857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Llevar un registro</w:t>
            </w:r>
            <w:r w:rsidRPr="00DD11E6">
              <w:rPr>
                <w:rFonts w:eastAsia="Arial Unicode MS"/>
                <w:bCs/>
              </w:rPr>
              <w:t xml:space="preserve"> que incluya los puntos de abastecimientos y el número de Tanqueros utilizado por cada institución.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DD11E6" w:rsidTr="00B00E87"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DD11E6" w:rsidRDefault="0008022A">
            <w:pPr>
              <w:rPr>
                <w:rFonts w:eastAsia="Arial Unicode MS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DD11E6" w:rsidRDefault="0008022A" w:rsidP="00856857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  <w:bCs/>
              </w:rPr>
            </w:pPr>
            <w:r w:rsidRPr="00DD11E6">
              <w:rPr>
                <w:rFonts w:eastAsia="Arial Unicode MS"/>
                <w:bCs/>
              </w:rPr>
              <w:t>Preparar informe correspondiente, el cual estará a cargo del Supervisor de Concesionaria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DD11E6" w:rsidTr="0008022A"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DD11E6" w:rsidRDefault="0008022A">
            <w:pPr>
              <w:rPr>
                <w:rFonts w:eastAsia="Arial Unicode MS"/>
              </w:rPr>
            </w:pP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DD11E6" w:rsidRDefault="0008022A" w:rsidP="00856857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  <w:bCs/>
              </w:rPr>
            </w:pPr>
            <w:r w:rsidRPr="00DD11E6">
              <w:rPr>
                <w:rFonts w:eastAsia="Arial Unicode MS"/>
                <w:bCs/>
              </w:rPr>
              <w:t>La Concesionaria formalmente remitirá el informe al COE, CSCG e Instituciones que participaron en la distribución por Tanqueros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DD11E6" w:rsidTr="00B00E87"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DD11E6" w:rsidRDefault="0008022A">
            <w:pPr>
              <w:rPr>
                <w:rFonts w:eastAsia="Arial Unicode MS"/>
              </w:rPr>
            </w:pPr>
          </w:p>
        </w:tc>
        <w:tc>
          <w:tcPr>
            <w:tcW w:w="8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8022A" w:rsidRPr="00DD11E6" w:rsidRDefault="0008022A" w:rsidP="00B00E87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  <w:bCs/>
              </w:rPr>
            </w:pPr>
            <w:r w:rsidRPr="00DD11E6">
              <w:rPr>
                <w:rFonts w:eastAsia="Arial Unicode MS"/>
                <w:bCs/>
              </w:rPr>
              <w:t>En incidentes que presenten</w:t>
            </w:r>
            <w:r w:rsidR="00B00E87">
              <w:rPr>
                <w:rFonts w:eastAsia="Arial Unicode MS"/>
                <w:bCs/>
              </w:rPr>
              <w:t xml:space="preserve"> condiciones especiales, r</w:t>
            </w:r>
            <w:r w:rsidR="00B00E87" w:rsidRPr="007C4497">
              <w:rPr>
                <w:rFonts w:eastAsia="Arial Unicode MS"/>
              </w:rPr>
              <w:t>ealizar una reunión posterior al incidente donde se evalúe las lecciones aprendidas y por mejorar en la CSCG</w:t>
            </w:r>
            <w:r w:rsidR="00B00E87">
              <w:rPr>
                <w:rFonts w:eastAsia="Arial Unicode MS"/>
              </w:rPr>
              <w:t xml:space="preserve"> máximo en noventa y seis (96) horas hábiles.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B00E87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B00E87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B00E87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B00E87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B00E87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B00E87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08022A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 w:rsidRPr="00E10276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B00E87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B00E87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2A" w:rsidRPr="00E10276" w:rsidRDefault="00B00E87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2A" w:rsidRPr="00E10276" w:rsidRDefault="00B00E87" w:rsidP="00B161F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08022A" w:rsidRPr="00E9203F" w:rsidTr="0008022A">
        <w:tc>
          <w:tcPr>
            <w:tcW w:w="140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E9203F" w:rsidRDefault="0008022A" w:rsidP="0008022A">
            <w:pPr>
              <w:rPr>
                <w:rFonts w:eastAsia="Arial Unicode MS" w:cs="Arial"/>
                <w:bCs/>
                <w:i/>
              </w:rPr>
            </w:pPr>
            <w:r w:rsidRPr="00E9203F">
              <w:rPr>
                <w:rFonts w:eastAsia="Arial Unicode MS" w:cs="Arial"/>
                <w:bCs/>
                <w:i/>
              </w:rPr>
              <w:t>Nota: La consolidación de la información cantonal la llevará a cabo la CSCG a través de un informe situacional para entregar a la sala situacional provincial.</w:t>
            </w:r>
          </w:p>
        </w:tc>
      </w:tr>
    </w:tbl>
    <w:p w:rsidR="0070139B" w:rsidRPr="00DD11E6" w:rsidRDefault="0070139B"/>
    <w:sectPr w:rsidR="0070139B" w:rsidRPr="00DD11E6" w:rsidSect="001E2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276" w:right="2232" w:bottom="851" w:left="1440" w:header="360" w:footer="395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9">
      <wne:fci wne:fciName="Help" wne:swArg="0000"/>
    </wne:keymap>
    <wne:keymap wne:kcmPrimary="0447">
      <wne:acd wne:acdName="acd1"/>
    </wne:keymap>
    <wne:keymap wne:kcmPrimary="0449">
      <wne:wch wne:val="000000ED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HAHUAaQBkAGUA" wne:acdName="acd1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4BD" w:rsidRDefault="00CE34BD">
      <w:r>
        <w:separator/>
      </w:r>
    </w:p>
  </w:endnote>
  <w:endnote w:type="continuationSeparator" w:id="0">
    <w:p w:rsidR="00CE34BD" w:rsidRDefault="00CE3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74F" w:rsidRDefault="001E27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45" w:rsidRPr="007D456D" w:rsidRDefault="00652D45" w:rsidP="00307431">
    <w:pPr>
      <w:pStyle w:val="Footer"/>
      <w:pBdr>
        <w:top w:val="none" w:sz="0" w:space="0" w:color="auto"/>
      </w:pBdr>
      <w:rPr>
        <w:b/>
      </w:rPr>
    </w:pPr>
    <w:r w:rsidRPr="007D456D">
      <w:rPr>
        <w:b/>
      </w:rPr>
      <w:t xml:space="preserve">REG. </w:t>
    </w:r>
    <w:r>
      <w:rPr>
        <w:b/>
      </w:rPr>
      <w:t>EM</w:t>
    </w:r>
    <w:r w:rsidRPr="007D456D">
      <w:rPr>
        <w:b/>
      </w:rPr>
      <w:t xml:space="preserve"> – 001</w:t>
    </w:r>
    <w:r w:rsidRPr="007D456D">
      <w:rPr>
        <w:b/>
      </w:rPr>
      <w:tab/>
    </w:r>
    <w:r w:rsidR="00B00E87">
      <w:rPr>
        <w:b/>
      </w:rPr>
      <w:t xml:space="preserve">   </w:t>
    </w:r>
    <w:r>
      <w:rPr>
        <w:b/>
      </w:rPr>
      <w:t xml:space="preserve"> </w:t>
    </w:r>
    <w:r w:rsidRPr="007D456D">
      <w:rPr>
        <w:b/>
      </w:rPr>
      <w:tab/>
    </w:r>
    <w:r w:rsidRPr="007D456D">
      <w:rPr>
        <w:b/>
      </w:rPr>
      <w:tab/>
    </w:r>
    <w:r w:rsidRPr="007D456D">
      <w:rPr>
        <w:b/>
      </w:rPr>
      <w:tab/>
    </w:r>
    <w:r w:rsidR="00B00E87">
      <w:rPr>
        <w:b/>
      </w:rPr>
      <w:t xml:space="preserve">   </w:t>
    </w:r>
    <w:r>
      <w:rPr>
        <w:b/>
      </w:rPr>
      <w:t xml:space="preserve"> P</w:t>
    </w:r>
    <w:r w:rsidRPr="007D456D">
      <w:rPr>
        <w:b/>
      </w:rPr>
      <w:t xml:space="preserve">ágina </w:t>
    </w:r>
    <w:r w:rsidR="00C558EC" w:rsidRPr="007D456D">
      <w:rPr>
        <w:rStyle w:val="PageNumber"/>
        <w:rFonts w:cs="Tahoma"/>
        <w:b/>
      </w:rPr>
      <w:fldChar w:fldCharType="begin"/>
    </w:r>
    <w:r w:rsidRPr="007D456D">
      <w:rPr>
        <w:rStyle w:val="PageNumber"/>
        <w:rFonts w:cs="Tahoma"/>
        <w:b/>
      </w:rPr>
      <w:instrText xml:space="preserve"> PAGE </w:instrText>
    </w:r>
    <w:r w:rsidR="00C558EC" w:rsidRPr="007D456D">
      <w:rPr>
        <w:rStyle w:val="PageNumber"/>
        <w:rFonts w:cs="Tahoma"/>
        <w:b/>
      </w:rPr>
      <w:fldChar w:fldCharType="separate"/>
    </w:r>
    <w:r w:rsidR="009E742C">
      <w:rPr>
        <w:rStyle w:val="PageNumber"/>
        <w:rFonts w:cs="Tahoma"/>
        <w:b/>
        <w:noProof/>
      </w:rPr>
      <w:t>4</w:t>
    </w:r>
    <w:r w:rsidR="00C558EC" w:rsidRPr="007D456D">
      <w:rPr>
        <w:rStyle w:val="PageNumber"/>
        <w:rFonts w:cs="Tahoma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74F" w:rsidRDefault="001E27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4BD" w:rsidRDefault="00CE34BD">
      <w:r>
        <w:separator/>
      </w:r>
    </w:p>
  </w:footnote>
  <w:footnote w:type="continuationSeparator" w:id="0">
    <w:p w:rsidR="00CE34BD" w:rsidRDefault="00CE3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74F" w:rsidRDefault="001E27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45" w:rsidRDefault="009E742C" w:rsidP="00074CED">
    <w:pPr>
      <w:pStyle w:val="Header"/>
      <w:pBdr>
        <w:bottom w:val="none" w:sz="0" w:space="0" w:color="auto"/>
      </w:pBdr>
      <w:jc w:val="center"/>
      <w:rPr>
        <w:rFonts w:eastAsia="Arial Unicode MS"/>
        <w:b/>
        <w:bCs/>
        <w:i/>
        <w:iCs/>
      </w:rPr>
    </w:pPr>
    <w:r>
      <w:rPr>
        <w:noProof/>
        <w:lang w:val="es-EC" w:eastAsia="es-EC"/>
      </w:rPr>
      <w:drawing>
        <wp:inline distT="0" distB="0" distL="0" distR="0">
          <wp:extent cx="2027555" cy="723265"/>
          <wp:effectExtent l="19050" t="0" r="0" b="0"/>
          <wp:docPr id="1" name="Picture 1" descr="C:\Users\xavsalap\Pictures\SN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avsalap\Pictures\SNG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4CED">
      <w:rPr>
        <w:noProof/>
        <w:lang w:val="es-EC" w:eastAsia="es-EC"/>
      </w:rPr>
      <w:drawing>
        <wp:inline distT="0" distB="0" distL="0" distR="0">
          <wp:extent cx="647700" cy="628650"/>
          <wp:effectExtent l="19050" t="0" r="0" b="0"/>
          <wp:docPr id="7" name="Imagen 2" descr="M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U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74F" w:rsidRDefault="001E27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21E"/>
    <w:multiLevelType w:val="hybridMultilevel"/>
    <w:tmpl w:val="7EB8D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">
    <w:nsid w:val="05512416"/>
    <w:multiLevelType w:val="hybridMultilevel"/>
    <w:tmpl w:val="B41E85BE"/>
    <w:lvl w:ilvl="0" w:tplc="91B2C94C">
      <w:start w:val="1"/>
      <w:numFmt w:val="decimal"/>
      <w:pStyle w:val="Numbered3"/>
      <w:lvlText w:val="%1."/>
      <w:lvlJc w:val="left"/>
      <w:pPr>
        <w:tabs>
          <w:tab w:val="num" w:pos="720"/>
        </w:tabs>
        <w:ind w:left="666" w:hanging="30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  <w:rPr>
        <w:rFonts w:cs="Times New Roman"/>
      </w:rPr>
    </w:lvl>
  </w:abstractNum>
  <w:abstractNum w:abstractNumId="2">
    <w:nsid w:val="0794664D"/>
    <w:multiLevelType w:val="singleLevel"/>
    <w:tmpl w:val="C4825B2A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4B2156F"/>
    <w:multiLevelType w:val="hybridMultilevel"/>
    <w:tmpl w:val="7E98EA3C"/>
    <w:lvl w:ilvl="0" w:tplc="7BBC658E">
      <w:start w:val="1"/>
      <w:numFmt w:val="bullet"/>
      <w:pStyle w:val="Bullet1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4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446E7"/>
    <w:multiLevelType w:val="hybridMultilevel"/>
    <w:tmpl w:val="8D80E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5">
    <w:nsid w:val="16D80A09"/>
    <w:multiLevelType w:val="singleLevel"/>
    <w:tmpl w:val="B8006C9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186505BC"/>
    <w:multiLevelType w:val="hybridMultilevel"/>
    <w:tmpl w:val="A978F6D2"/>
    <w:lvl w:ilvl="0" w:tplc="B31A6208">
      <w:start w:val="1"/>
      <w:numFmt w:val="bullet"/>
      <w:pStyle w:val="Bullet3"/>
      <w:lvlText w:val=""/>
      <w:lvlJc w:val="left"/>
      <w:pPr>
        <w:tabs>
          <w:tab w:val="num" w:pos="1154"/>
        </w:tabs>
        <w:ind w:left="1154" w:hanging="360"/>
      </w:pPr>
      <w:rPr>
        <w:rFonts w:ascii="Times New Roman" w:hAnsi="Times New Roman" w:hint="default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F704F49"/>
    <w:multiLevelType w:val="hybridMultilevel"/>
    <w:tmpl w:val="CCAC79BA"/>
    <w:lvl w:ilvl="0" w:tplc="EFF2AE88">
      <w:start w:val="1"/>
      <w:numFmt w:val="decimal"/>
      <w:pStyle w:val="Step"/>
      <w:lvlText w:val="Step %1."/>
      <w:lvlJc w:val="left"/>
      <w:pPr>
        <w:tabs>
          <w:tab w:val="num" w:pos="1854"/>
        </w:tabs>
        <w:ind w:left="1494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EC922E">
      <w:start w:val="1"/>
      <w:numFmt w:val="decimal"/>
      <w:pStyle w:val="Step"/>
      <w:lvlText w:val="Step %3."/>
      <w:lvlJc w:val="left"/>
      <w:pPr>
        <w:tabs>
          <w:tab w:val="num" w:pos="2700"/>
        </w:tabs>
        <w:ind w:left="2340" w:hanging="360"/>
      </w:pPr>
      <w:rPr>
        <w:rFonts w:ascii="Times New Roman" w:hAnsi="Times New Roman" w:cs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D0388F"/>
    <w:multiLevelType w:val="hybridMultilevel"/>
    <w:tmpl w:val="E6E6C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9">
    <w:nsid w:val="29527350"/>
    <w:multiLevelType w:val="multilevel"/>
    <w:tmpl w:val="FDB82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2F6273DE"/>
    <w:multiLevelType w:val="hybridMultilevel"/>
    <w:tmpl w:val="8FD69D30"/>
    <w:lvl w:ilvl="0" w:tplc="E6FCF0EE">
      <w:start w:val="1"/>
      <w:numFmt w:val="bullet"/>
      <w:pStyle w:val="Bullet2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4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2D43E98"/>
    <w:multiLevelType w:val="hybridMultilevel"/>
    <w:tmpl w:val="025246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C05C9D"/>
    <w:multiLevelType w:val="hybridMultilevel"/>
    <w:tmpl w:val="5606A2F0"/>
    <w:lvl w:ilvl="0" w:tplc="3C283D6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717C89"/>
    <w:multiLevelType w:val="hybridMultilevel"/>
    <w:tmpl w:val="BB345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4">
    <w:nsid w:val="61C749B3"/>
    <w:multiLevelType w:val="hybridMultilevel"/>
    <w:tmpl w:val="A89E6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2331E">
      <w:start w:val="1"/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5">
    <w:nsid w:val="68D571CE"/>
    <w:multiLevelType w:val="hybridMultilevel"/>
    <w:tmpl w:val="B630C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6F75202A"/>
    <w:multiLevelType w:val="hybridMultilevel"/>
    <w:tmpl w:val="83EEA3F6"/>
    <w:lvl w:ilvl="0" w:tplc="2A100D36">
      <w:start w:val="1"/>
      <w:numFmt w:val="lowerLetter"/>
      <w:pStyle w:val="ListLettered"/>
      <w:lvlText w:val="%1."/>
      <w:lvlJc w:val="left"/>
      <w:pPr>
        <w:tabs>
          <w:tab w:val="num" w:pos="2564"/>
        </w:tabs>
        <w:ind w:left="256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752AF0"/>
    <w:multiLevelType w:val="hybridMultilevel"/>
    <w:tmpl w:val="F81009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6"/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15"/>
  </w:num>
  <w:num w:numId="12">
    <w:abstractNumId w:val="17"/>
  </w:num>
  <w:num w:numId="13">
    <w:abstractNumId w:val="0"/>
  </w:num>
  <w:num w:numId="14">
    <w:abstractNumId w:val="14"/>
  </w:num>
  <w:num w:numId="15">
    <w:abstractNumId w:val="13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PostScriptOverText/>
  <w:embedSystemFonts/>
  <w:proofState w:grammar="clean"/>
  <w:stylePaneFormatFilter w:val="3701"/>
  <w:doNotTrackMoves/>
  <w:defaultTabStop w:val="56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EB307B"/>
    <w:rsid w:val="000148CE"/>
    <w:rsid w:val="00045C01"/>
    <w:rsid w:val="0006452E"/>
    <w:rsid w:val="00074CED"/>
    <w:rsid w:val="0008022A"/>
    <w:rsid w:val="00132AD3"/>
    <w:rsid w:val="001366E7"/>
    <w:rsid w:val="001427D8"/>
    <w:rsid w:val="00146BB6"/>
    <w:rsid w:val="00176190"/>
    <w:rsid w:val="00196D77"/>
    <w:rsid w:val="001B10B7"/>
    <w:rsid w:val="001C01B4"/>
    <w:rsid w:val="001C662D"/>
    <w:rsid w:val="001C79BB"/>
    <w:rsid w:val="001D2C8B"/>
    <w:rsid w:val="001E0F7B"/>
    <w:rsid w:val="001E274F"/>
    <w:rsid w:val="00205C7E"/>
    <w:rsid w:val="00206C04"/>
    <w:rsid w:val="002349F0"/>
    <w:rsid w:val="0024701E"/>
    <w:rsid w:val="00263A01"/>
    <w:rsid w:val="002656F7"/>
    <w:rsid w:val="002B586C"/>
    <w:rsid w:val="002E0699"/>
    <w:rsid w:val="00307431"/>
    <w:rsid w:val="00311E32"/>
    <w:rsid w:val="00313A79"/>
    <w:rsid w:val="00321D24"/>
    <w:rsid w:val="00354C73"/>
    <w:rsid w:val="003A1164"/>
    <w:rsid w:val="003A4747"/>
    <w:rsid w:val="003A62C4"/>
    <w:rsid w:val="003A7772"/>
    <w:rsid w:val="003E1BE2"/>
    <w:rsid w:val="00413267"/>
    <w:rsid w:val="00420B83"/>
    <w:rsid w:val="00465B6B"/>
    <w:rsid w:val="00473827"/>
    <w:rsid w:val="00480257"/>
    <w:rsid w:val="004B2749"/>
    <w:rsid w:val="00515B3D"/>
    <w:rsid w:val="00554059"/>
    <w:rsid w:val="00581A9C"/>
    <w:rsid w:val="00595A9B"/>
    <w:rsid w:val="005B6A71"/>
    <w:rsid w:val="005C0A0A"/>
    <w:rsid w:val="005C5DF0"/>
    <w:rsid w:val="006005A3"/>
    <w:rsid w:val="006059B2"/>
    <w:rsid w:val="00621E66"/>
    <w:rsid w:val="00625345"/>
    <w:rsid w:val="00652D45"/>
    <w:rsid w:val="006709BD"/>
    <w:rsid w:val="00674C5E"/>
    <w:rsid w:val="00692496"/>
    <w:rsid w:val="006A3B4C"/>
    <w:rsid w:val="006A622F"/>
    <w:rsid w:val="006B0C6D"/>
    <w:rsid w:val="006D2392"/>
    <w:rsid w:val="006D3DA4"/>
    <w:rsid w:val="006E4159"/>
    <w:rsid w:val="006E4686"/>
    <w:rsid w:val="00700EA9"/>
    <w:rsid w:val="0070139B"/>
    <w:rsid w:val="0071665A"/>
    <w:rsid w:val="0072209B"/>
    <w:rsid w:val="00762630"/>
    <w:rsid w:val="00766C31"/>
    <w:rsid w:val="00786787"/>
    <w:rsid w:val="007D456D"/>
    <w:rsid w:val="008243E7"/>
    <w:rsid w:val="008532C6"/>
    <w:rsid w:val="00872C8F"/>
    <w:rsid w:val="00886541"/>
    <w:rsid w:val="00892468"/>
    <w:rsid w:val="008A0539"/>
    <w:rsid w:val="008A0DD0"/>
    <w:rsid w:val="008A45D9"/>
    <w:rsid w:val="008F126E"/>
    <w:rsid w:val="008F427C"/>
    <w:rsid w:val="0090207E"/>
    <w:rsid w:val="00906B9B"/>
    <w:rsid w:val="00922246"/>
    <w:rsid w:val="009259C0"/>
    <w:rsid w:val="00944199"/>
    <w:rsid w:val="00962178"/>
    <w:rsid w:val="00964FAF"/>
    <w:rsid w:val="009C5EFB"/>
    <w:rsid w:val="009C6874"/>
    <w:rsid w:val="009D5EF7"/>
    <w:rsid w:val="009E51E8"/>
    <w:rsid w:val="009E742C"/>
    <w:rsid w:val="009F3434"/>
    <w:rsid w:val="009F7E01"/>
    <w:rsid w:val="00A21D4C"/>
    <w:rsid w:val="00A742DC"/>
    <w:rsid w:val="00AA1A74"/>
    <w:rsid w:val="00AA4A62"/>
    <w:rsid w:val="00AB0C3A"/>
    <w:rsid w:val="00AD3597"/>
    <w:rsid w:val="00AE01D3"/>
    <w:rsid w:val="00AE0F16"/>
    <w:rsid w:val="00AF2178"/>
    <w:rsid w:val="00AF4181"/>
    <w:rsid w:val="00B00E87"/>
    <w:rsid w:val="00B0564A"/>
    <w:rsid w:val="00B07856"/>
    <w:rsid w:val="00B161F4"/>
    <w:rsid w:val="00B352B4"/>
    <w:rsid w:val="00B42A5F"/>
    <w:rsid w:val="00B44BAB"/>
    <w:rsid w:val="00B51C6D"/>
    <w:rsid w:val="00B71B30"/>
    <w:rsid w:val="00B73365"/>
    <w:rsid w:val="00BA299D"/>
    <w:rsid w:val="00BB6E38"/>
    <w:rsid w:val="00BC30B3"/>
    <w:rsid w:val="00BD43E6"/>
    <w:rsid w:val="00BD57A4"/>
    <w:rsid w:val="00BE5086"/>
    <w:rsid w:val="00C01E76"/>
    <w:rsid w:val="00C059C8"/>
    <w:rsid w:val="00C21EF3"/>
    <w:rsid w:val="00C54ACF"/>
    <w:rsid w:val="00C558EC"/>
    <w:rsid w:val="00C636E0"/>
    <w:rsid w:val="00C66CE2"/>
    <w:rsid w:val="00C93C35"/>
    <w:rsid w:val="00CA4113"/>
    <w:rsid w:val="00CB0697"/>
    <w:rsid w:val="00CB2EDF"/>
    <w:rsid w:val="00CB7E05"/>
    <w:rsid w:val="00CC2D8B"/>
    <w:rsid w:val="00CE07B8"/>
    <w:rsid w:val="00CE34BD"/>
    <w:rsid w:val="00D05B45"/>
    <w:rsid w:val="00D416CC"/>
    <w:rsid w:val="00D45941"/>
    <w:rsid w:val="00D96028"/>
    <w:rsid w:val="00DC20B1"/>
    <w:rsid w:val="00DD0998"/>
    <w:rsid w:val="00DD11E6"/>
    <w:rsid w:val="00E10276"/>
    <w:rsid w:val="00E34867"/>
    <w:rsid w:val="00E47950"/>
    <w:rsid w:val="00E67D1C"/>
    <w:rsid w:val="00E67D99"/>
    <w:rsid w:val="00E82DF5"/>
    <w:rsid w:val="00E917B4"/>
    <w:rsid w:val="00E9203F"/>
    <w:rsid w:val="00EA3C05"/>
    <w:rsid w:val="00EB307B"/>
    <w:rsid w:val="00EF7981"/>
    <w:rsid w:val="00F05874"/>
    <w:rsid w:val="00F10F96"/>
    <w:rsid w:val="00F64BD3"/>
    <w:rsid w:val="00F67099"/>
    <w:rsid w:val="00F76A55"/>
    <w:rsid w:val="00F844EE"/>
    <w:rsid w:val="00F96A1B"/>
    <w:rsid w:val="00FA28BB"/>
    <w:rsid w:val="00FA7077"/>
    <w:rsid w:val="00FA7B0D"/>
    <w:rsid w:val="00FB28E3"/>
    <w:rsid w:val="00FD1C31"/>
    <w:rsid w:val="00FD3D17"/>
    <w:rsid w:val="00FF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742DC"/>
    <w:rPr>
      <w:rFonts w:ascii="Arial" w:hAnsi="Arial"/>
      <w:sz w:val="20"/>
      <w:szCs w:val="20"/>
      <w:lang w:val="es-ES"/>
    </w:rPr>
  </w:style>
  <w:style w:type="paragraph" w:styleId="Heading1">
    <w:name w:val="heading 1"/>
    <w:basedOn w:val="Normal"/>
    <w:next w:val="Text1"/>
    <w:link w:val="Heading1Char"/>
    <w:uiPriority w:val="99"/>
    <w:qFormat/>
    <w:rsid w:val="00A742DC"/>
    <w:pPr>
      <w:pBdr>
        <w:top w:val="single" w:sz="24" w:space="4" w:color="333399"/>
      </w:pBdr>
      <w:tabs>
        <w:tab w:val="left" w:pos="737"/>
      </w:tabs>
      <w:outlineLvl w:val="0"/>
    </w:pPr>
    <w:rPr>
      <w:rFonts w:ascii="Tahoma" w:hAnsi="Tahoma" w:cs="Arial"/>
      <w:b/>
      <w:color w:val="000080"/>
      <w:spacing w:val="20"/>
      <w:kern w:val="28"/>
      <w:sz w:val="36"/>
    </w:rPr>
  </w:style>
  <w:style w:type="paragraph" w:styleId="Heading2">
    <w:name w:val="heading 2"/>
    <w:basedOn w:val="Normal"/>
    <w:next w:val="Text2"/>
    <w:link w:val="Heading2Char"/>
    <w:uiPriority w:val="99"/>
    <w:qFormat/>
    <w:rsid w:val="00A742DC"/>
    <w:pPr>
      <w:keepNext/>
      <w:outlineLvl w:val="1"/>
    </w:pPr>
    <w:rPr>
      <w:rFonts w:ascii="Arial Black" w:hAnsi="Arial Black" w:cs="Arial"/>
      <w:color w:val="000080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42DC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42DC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42DC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42DC"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42DC"/>
    <w:pPr>
      <w:numPr>
        <w:ilvl w:val="6"/>
        <w:numId w:val="1"/>
      </w:numPr>
      <w:spacing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42DC"/>
    <w:pPr>
      <w:numPr>
        <w:ilvl w:val="7"/>
        <w:numId w:val="1"/>
      </w:num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42DC"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59B2"/>
    <w:rPr>
      <w:rFonts w:ascii="Cambria" w:hAnsi="Cambria" w:cs="Times New Roman"/>
      <w:b/>
      <w:bCs/>
      <w:kern w:val="32"/>
      <w:sz w:val="32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59B2"/>
    <w:rPr>
      <w:rFonts w:ascii="Cambria" w:hAnsi="Cambria" w:cs="Times New Roman"/>
      <w:b/>
      <w:bCs/>
      <w:i/>
      <w:iCs/>
      <w:sz w:val="28"/>
      <w:szCs w:val="28"/>
      <w:lang w:val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59B2"/>
    <w:rPr>
      <w:rFonts w:ascii="Cambria" w:hAnsi="Cambria" w:cs="Times New Roman"/>
      <w:b/>
      <w:bCs/>
      <w:sz w:val="26"/>
      <w:szCs w:val="26"/>
      <w:lang w:val="es-E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059B2"/>
    <w:rPr>
      <w:rFonts w:ascii="Calibri" w:hAnsi="Calibri" w:cs="Times New Roman"/>
      <w:b/>
      <w:bCs/>
      <w:sz w:val="28"/>
      <w:szCs w:val="28"/>
      <w:lang w:val="es-E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059B2"/>
    <w:rPr>
      <w:rFonts w:ascii="Calibri" w:hAnsi="Calibri" w:cs="Times New Roman"/>
      <w:b/>
      <w:bCs/>
      <w:i/>
      <w:iCs/>
      <w:sz w:val="26"/>
      <w:szCs w:val="26"/>
      <w:lang w:val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059B2"/>
    <w:rPr>
      <w:rFonts w:ascii="Calibri" w:hAnsi="Calibri" w:cs="Times New Roman"/>
      <w:b/>
      <w:bCs/>
      <w:lang w:val="es-E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059B2"/>
    <w:rPr>
      <w:rFonts w:ascii="Calibri" w:hAnsi="Calibri" w:cs="Times New Roman"/>
      <w:sz w:val="24"/>
      <w:szCs w:val="24"/>
      <w:lang w:val="es-E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059B2"/>
    <w:rPr>
      <w:rFonts w:ascii="Calibri" w:hAnsi="Calibri" w:cs="Times New Roman"/>
      <w:i/>
      <w:iCs/>
      <w:sz w:val="24"/>
      <w:szCs w:val="24"/>
      <w:lang w:val="es-E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059B2"/>
    <w:rPr>
      <w:rFonts w:ascii="Cambria" w:hAnsi="Cambria" w:cs="Times New Roman"/>
      <w:lang w:val="es-ES"/>
    </w:rPr>
  </w:style>
  <w:style w:type="paragraph" w:customStyle="1" w:styleId="Text1">
    <w:name w:val="Text 1"/>
    <w:basedOn w:val="Normal"/>
    <w:uiPriority w:val="99"/>
    <w:rsid w:val="00A742DC"/>
    <w:pPr>
      <w:keepLines/>
    </w:pPr>
  </w:style>
  <w:style w:type="paragraph" w:customStyle="1" w:styleId="Text2">
    <w:name w:val="Text 2"/>
    <w:basedOn w:val="Text1"/>
    <w:uiPriority w:val="99"/>
    <w:rsid w:val="00A742DC"/>
    <w:pPr>
      <w:tabs>
        <w:tab w:val="right" w:leader="dot" w:pos="7371"/>
      </w:tabs>
      <w:ind w:left="567"/>
    </w:pPr>
  </w:style>
  <w:style w:type="paragraph" w:styleId="Title">
    <w:name w:val="Title"/>
    <w:basedOn w:val="Normal"/>
    <w:link w:val="TitleChar"/>
    <w:uiPriority w:val="99"/>
    <w:qFormat/>
    <w:rsid w:val="00A742DC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6059B2"/>
    <w:rPr>
      <w:rFonts w:ascii="Cambria" w:hAnsi="Cambria" w:cs="Times New Roman"/>
      <w:b/>
      <w:bCs/>
      <w:kern w:val="28"/>
      <w:sz w:val="32"/>
      <w:szCs w:val="32"/>
      <w:lang w:val="es-ES"/>
    </w:rPr>
  </w:style>
  <w:style w:type="paragraph" w:customStyle="1" w:styleId="Numbered2">
    <w:name w:val="Numbered 2"/>
    <w:basedOn w:val="Numbered1"/>
    <w:uiPriority w:val="99"/>
    <w:rsid w:val="00A742DC"/>
    <w:pPr>
      <w:tabs>
        <w:tab w:val="clear" w:pos="720"/>
        <w:tab w:val="num" w:pos="849"/>
      </w:tabs>
      <w:ind w:left="851" w:hanging="284"/>
    </w:pPr>
  </w:style>
  <w:style w:type="paragraph" w:customStyle="1" w:styleId="Numbered1">
    <w:name w:val="Numbered 1"/>
    <w:basedOn w:val="Normal"/>
    <w:uiPriority w:val="99"/>
    <w:rsid w:val="00A742DC"/>
    <w:pPr>
      <w:tabs>
        <w:tab w:val="num" w:pos="720"/>
      </w:tabs>
      <w:ind w:left="720" w:hanging="360"/>
    </w:pPr>
  </w:style>
  <w:style w:type="paragraph" w:styleId="BodyText">
    <w:name w:val="Body Text"/>
    <w:basedOn w:val="Normal"/>
    <w:link w:val="BodyTextChar"/>
    <w:uiPriority w:val="99"/>
    <w:rsid w:val="00A742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paragraph" w:customStyle="1" w:styleId="Underline1">
    <w:name w:val="Underline 1"/>
    <w:basedOn w:val="Normal"/>
    <w:uiPriority w:val="99"/>
    <w:rsid w:val="00A742DC"/>
    <w:pPr>
      <w:tabs>
        <w:tab w:val="right" w:leader="dot" w:pos="7371"/>
      </w:tabs>
      <w:spacing w:before="280"/>
    </w:pPr>
    <w:rPr>
      <w:sz w:val="16"/>
    </w:rPr>
  </w:style>
  <w:style w:type="paragraph" w:customStyle="1" w:styleId="Subheading">
    <w:name w:val="Subheading"/>
    <w:basedOn w:val="Normal"/>
    <w:uiPriority w:val="99"/>
    <w:rsid w:val="00A742DC"/>
    <w:pPr>
      <w:keepNext/>
      <w:tabs>
        <w:tab w:val="right" w:leader="underscore" w:pos="8640"/>
      </w:tabs>
      <w:spacing w:before="360"/>
    </w:pPr>
    <w:rPr>
      <w:b/>
      <w:sz w:val="28"/>
    </w:rPr>
  </w:style>
  <w:style w:type="paragraph" w:styleId="Header">
    <w:name w:val="header"/>
    <w:basedOn w:val="Normal"/>
    <w:link w:val="HeaderChar"/>
    <w:uiPriority w:val="99"/>
    <w:rsid w:val="00A742DC"/>
    <w:pPr>
      <w:pBdr>
        <w:bottom w:val="single" w:sz="4" w:space="1" w:color="auto"/>
      </w:pBdr>
      <w:tabs>
        <w:tab w:val="center" w:pos="4320"/>
        <w:tab w:val="right" w:pos="8640"/>
      </w:tabs>
      <w:spacing w:after="240"/>
      <w:ind w:left="1418"/>
      <w:jc w:val="right"/>
    </w:pPr>
    <w:rPr>
      <w:rFonts w:ascii="Tahoma" w:hAnsi="Tahoma" w:cs="Tahoma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rsid w:val="00A742DC"/>
    <w:pPr>
      <w:pBdr>
        <w:top w:val="single" w:sz="4" w:space="4" w:color="auto"/>
      </w:pBdr>
      <w:tabs>
        <w:tab w:val="center" w:pos="4678"/>
        <w:tab w:val="right" w:pos="9781"/>
      </w:tabs>
    </w:pPr>
    <w:rPr>
      <w:rFonts w:ascii="Tahoma" w:hAnsi="Tahoma" w:cs="Tahoma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character" w:styleId="PageNumber">
    <w:name w:val="page number"/>
    <w:basedOn w:val="DefaultParagraphFont"/>
    <w:uiPriority w:val="99"/>
    <w:rsid w:val="00A742DC"/>
    <w:rPr>
      <w:rFonts w:cs="Times New Roman"/>
    </w:rPr>
  </w:style>
  <w:style w:type="paragraph" w:customStyle="1" w:styleId="cuerpo">
    <w:name w:val="cuerpo"/>
    <w:basedOn w:val="Normal"/>
    <w:uiPriority w:val="99"/>
    <w:rsid w:val="00A742D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before="1" w:after="1"/>
      <w:ind w:left="1" w:right="1" w:firstLine="1"/>
    </w:pPr>
    <w:rPr>
      <w:rFonts w:ascii="Helvetica" w:hAnsi="Helvetica"/>
      <w:szCs w:val="24"/>
      <w:lang w:val="en-US"/>
    </w:rPr>
  </w:style>
  <w:style w:type="paragraph" w:customStyle="1" w:styleId="Content">
    <w:name w:val="Content"/>
    <w:basedOn w:val="Normal"/>
    <w:uiPriority w:val="99"/>
    <w:rsid w:val="00A742DC"/>
    <w:pPr>
      <w:spacing w:before="60" w:after="60"/>
    </w:pPr>
  </w:style>
  <w:style w:type="paragraph" w:customStyle="1" w:styleId="Section">
    <w:name w:val="Section"/>
    <w:basedOn w:val="Normal"/>
    <w:uiPriority w:val="99"/>
    <w:rsid w:val="00A742DC"/>
    <w:pPr>
      <w:tabs>
        <w:tab w:val="num" w:pos="723"/>
        <w:tab w:val="right" w:leader="dot" w:pos="6804"/>
      </w:tabs>
      <w:spacing w:before="360"/>
      <w:ind w:left="357" w:hanging="357"/>
    </w:pPr>
    <w:rPr>
      <w:b/>
      <w:bCs/>
      <w:smallCaps/>
      <w:shadow/>
      <w:color w:val="333333"/>
      <w:sz w:val="40"/>
    </w:rPr>
  </w:style>
  <w:style w:type="paragraph" w:customStyle="1" w:styleId="TableText">
    <w:name w:val="Table Text"/>
    <w:basedOn w:val="Normal"/>
    <w:uiPriority w:val="99"/>
    <w:rsid w:val="00A742DC"/>
    <w:pPr>
      <w:spacing w:before="120" w:after="120"/>
    </w:pPr>
    <w:rPr>
      <w:rFonts w:cs="Arial"/>
    </w:rPr>
  </w:style>
  <w:style w:type="paragraph" w:customStyle="1" w:styleId="TableTitle">
    <w:name w:val="Table Title"/>
    <w:basedOn w:val="TableText"/>
    <w:uiPriority w:val="99"/>
    <w:rsid w:val="00A742DC"/>
    <w:pPr>
      <w:jc w:val="center"/>
    </w:pPr>
    <w:rPr>
      <w:rFonts w:ascii="Arial Black" w:hAnsi="Arial Black"/>
      <w:sz w:val="22"/>
    </w:rPr>
  </w:style>
  <w:style w:type="paragraph" w:customStyle="1" w:styleId="Text3">
    <w:name w:val="Text 3"/>
    <w:basedOn w:val="Text2"/>
    <w:uiPriority w:val="99"/>
    <w:rsid w:val="00A742DC"/>
    <w:pPr>
      <w:ind w:left="1134"/>
    </w:pPr>
  </w:style>
  <w:style w:type="paragraph" w:customStyle="1" w:styleId="Bullet1">
    <w:name w:val="Bullet 1"/>
    <w:basedOn w:val="Normal"/>
    <w:uiPriority w:val="99"/>
    <w:rsid w:val="00A742DC"/>
    <w:pPr>
      <w:keepLines/>
      <w:numPr>
        <w:numId w:val="3"/>
      </w:numPr>
      <w:spacing w:before="120"/>
      <w:ind w:left="584" w:hanging="357"/>
    </w:pPr>
  </w:style>
  <w:style w:type="paragraph" w:customStyle="1" w:styleId="Bullet2">
    <w:name w:val="Bullet 2"/>
    <w:basedOn w:val="Bullet1"/>
    <w:uiPriority w:val="99"/>
    <w:rsid w:val="00A742DC"/>
    <w:pPr>
      <w:numPr>
        <w:numId w:val="4"/>
      </w:numPr>
      <w:spacing w:before="240"/>
    </w:pPr>
  </w:style>
  <w:style w:type="paragraph" w:customStyle="1" w:styleId="Bullet3">
    <w:name w:val="Bullet 3"/>
    <w:basedOn w:val="Bullet2"/>
    <w:uiPriority w:val="99"/>
    <w:rsid w:val="00A742DC"/>
    <w:pPr>
      <w:numPr>
        <w:numId w:val="5"/>
      </w:numPr>
      <w:tabs>
        <w:tab w:val="num" w:pos="1514"/>
      </w:tabs>
      <w:ind w:left="1514"/>
    </w:pPr>
  </w:style>
  <w:style w:type="paragraph" w:customStyle="1" w:styleId="Bullet4">
    <w:name w:val="Bullet 4"/>
    <w:basedOn w:val="Bullet3"/>
    <w:uiPriority w:val="99"/>
    <w:rsid w:val="00A742DC"/>
    <w:pPr>
      <w:numPr>
        <w:numId w:val="0"/>
      </w:numPr>
      <w:tabs>
        <w:tab w:val="left" w:pos="1701"/>
      </w:tabs>
      <w:ind w:left="1701" w:hanging="360"/>
    </w:pPr>
  </w:style>
  <w:style w:type="paragraph" w:customStyle="1" w:styleId="Numbered3">
    <w:name w:val="Numbered 3"/>
    <w:basedOn w:val="Numbered2"/>
    <w:uiPriority w:val="99"/>
    <w:rsid w:val="00A742DC"/>
    <w:pPr>
      <w:numPr>
        <w:numId w:val="8"/>
      </w:numPr>
      <w:tabs>
        <w:tab w:val="left" w:pos="1474"/>
      </w:tabs>
      <w:ind w:left="1474" w:hanging="340"/>
    </w:pPr>
  </w:style>
  <w:style w:type="paragraph" w:customStyle="1" w:styleId="Guide">
    <w:name w:val="Guide"/>
    <w:basedOn w:val="Normal"/>
    <w:uiPriority w:val="99"/>
    <w:rsid w:val="00A742DC"/>
    <w:rPr>
      <w:rFonts w:ascii="Gill Sans" w:hAnsi="Gill Sans"/>
    </w:rPr>
  </w:style>
  <w:style w:type="paragraph" w:customStyle="1" w:styleId="Notes">
    <w:name w:val="Notes"/>
    <w:uiPriority w:val="99"/>
    <w:rsid w:val="00A742DC"/>
    <w:pPr>
      <w:autoSpaceDE w:val="0"/>
      <w:autoSpaceDN w:val="0"/>
      <w:adjustRightInd w:val="0"/>
      <w:spacing w:before="170"/>
    </w:pPr>
    <w:rPr>
      <w:rFonts w:ascii="Arial" w:hAnsi="Arial" w:cs="Arial"/>
      <w:b/>
      <w:bCs/>
      <w:i/>
      <w:i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rsid w:val="00A742DC"/>
    <w:rPr>
      <w:rFonts w:cs="Times New Roman"/>
      <w:sz w:val="16"/>
      <w:szCs w:val="16"/>
    </w:rPr>
  </w:style>
  <w:style w:type="paragraph" w:customStyle="1" w:styleId="CoverHeadings">
    <w:name w:val="Cover Headings"/>
    <w:basedOn w:val="Subheading"/>
    <w:uiPriority w:val="99"/>
    <w:rsid w:val="00A742DC"/>
    <w:pPr>
      <w:keepNext w:val="0"/>
      <w:spacing w:before="240"/>
    </w:pPr>
    <w:rPr>
      <w:rFonts w:ascii="Tahoma" w:hAnsi="Tahoma" w:cs="Tahoma"/>
      <w:bCs/>
      <w:color w:val="333399"/>
      <w:sz w:val="32"/>
    </w:rPr>
  </w:style>
  <w:style w:type="paragraph" w:customStyle="1" w:styleId="HugeNumber">
    <w:name w:val="Huge Number"/>
    <w:basedOn w:val="Normal"/>
    <w:uiPriority w:val="99"/>
    <w:rsid w:val="00A742DC"/>
    <w:pPr>
      <w:jc w:val="center"/>
    </w:pPr>
    <w:rPr>
      <w:b/>
      <w:bCs/>
      <w:sz w:val="96"/>
    </w:rPr>
  </w:style>
  <w:style w:type="paragraph" w:customStyle="1" w:styleId="TableBullet">
    <w:name w:val="Table Bullet"/>
    <w:basedOn w:val="TableText"/>
    <w:rsid w:val="00A742DC"/>
    <w:pPr>
      <w:numPr>
        <w:numId w:val="10"/>
      </w:numPr>
      <w:tabs>
        <w:tab w:val="num" w:pos="342"/>
      </w:tabs>
      <w:spacing w:after="0"/>
      <w:ind w:left="360"/>
    </w:pPr>
  </w:style>
  <w:style w:type="paragraph" w:customStyle="1" w:styleId="FooterCover">
    <w:name w:val="Footer Cover"/>
    <w:basedOn w:val="Footer"/>
    <w:uiPriority w:val="99"/>
    <w:rsid w:val="00A742DC"/>
    <w:pPr>
      <w:pBdr>
        <w:top w:val="single" w:sz="4" w:space="5" w:color="auto"/>
      </w:pBdr>
    </w:pPr>
  </w:style>
  <w:style w:type="paragraph" w:customStyle="1" w:styleId="Underline3">
    <w:name w:val="Underline 3"/>
    <w:basedOn w:val="Underline1"/>
    <w:uiPriority w:val="99"/>
    <w:rsid w:val="00A742DC"/>
    <w:pPr>
      <w:ind w:left="1009"/>
    </w:pPr>
  </w:style>
  <w:style w:type="paragraph" w:customStyle="1" w:styleId="Underline2">
    <w:name w:val="Underline 2"/>
    <w:basedOn w:val="Underline1"/>
    <w:uiPriority w:val="99"/>
    <w:rsid w:val="00A742DC"/>
    <w:pPr>
      <w:ind w:left="567"/>
    </w:pPr>
  </w:style>
  <w:style w:type="paragraph" w:customStyle="1" w:styleId="Step">
    <w:name w:val="Step"/>
    <w:basedOn w:val="Normal"/>
    <w:uiPriority w:val="99"/>
    <w:rsid w:val="00A742DC"/>
    <w:pPr>
      <w:keepNext/>
      <w:numPr>
        <w:numId w:val="9"/>
      </w:numPr>
      <w:tabs>
        <w:tab w:val="left" w:pos="1418"/>
      </w:tabs>
      <w:ind w:left="1985" w:hanging="851"/>
    </w:pPr>
  </w:style>
  <w:style w:type="paragraph" w:customStyle="1" w:styleId="ListLettered">
    <w:name w:val="List Lettered"/>
    <w:basedOn w:val="Normal"/>
    <w:uiPriority w:val="99"/>
    <w:rsid w:val="00A742DC"/>
    <w:pPr>
      <w:numPr>
        <w:numId w:val="6"/>
      </w:numPr>
      <w:tabs>
        <w:tab w:val="num" w:pos="709"/>
      </w:tabs>
      <w:ind w:left="709"/>
    </w:pPr>
  </w:style>
  <w:style w:type="character" w:customStyle="1" w:styleId="Fill-in">
    <w:name w:val="Fill-in"/>
    <w:basedOn w:val="DefaultParagraphFont"/>
    <w:uiPriority w:val="99"/>
    <w:rsid w:val="00A742DC"/>
    <w:rPr>
      <w:rFonts w:ascii="Times New Roman" w:hAnsi="Times New Roman" w:cs="Times New Roman"/>
      <w:b/>
      <w:i/>
      <w:iCs/>
      <w:sz w:val="26"/>
      <w:szCs w:val="26"/>
      <w:u w:val="single"/>
    </w:rPr>
  </w:style>
  <w:style w:type="paragraph" w:customStyle="1" w:styleId="Underline4">
    <w:name w:val="Underline 4"/>
    <w:basedOn w:val="Underline3"/>
    <w:uiPriority w:val="99"/>
    <w:rsid w:val="00A742DC"/>
    <w:pPr>
      <w:ind w:left="1418"/>
    </w:pPr>
  </w:style>
  <w:style w:type="paragraph" w:customStyle="1" w:styleId="Text4">
    <w:name w:val="Text 4"/>
    <w:basedOn w:val="Text3"/>
    <w:uiPriority w:val="99"/>
    <w:rsid w:val="00A742DC"/>
    <w:pPr>
      <w:ind w:left="1679"/>
    </w:pPr>
  </w:style>
  <w:style w:type="paragraph" w:customStyle="1" w:styleId="Bullet5">
    <w:name w:val="Bullet 5"/>
    <w:basedOn w:val="Bullet4"/>
    <w:uiPriority w:val="99"/>
    <w:rsid w:val="00A742DC"/>
    <w:pPr>
      <w:tabs>
        <w:tab w:val="clear" w:pos="1701"/>
        <w:tab w:val="left" w:pos="2268"/>
      </w:tabs>
      <w:ind w:left="2268" w:hanging="283"/>
    </w:pPr>
  </w:style>
  <w:style w:type="paragraph" w:customStyle="1" w:styleId="Underline5">
    <w:name w:val="Underline 5"/>
    <w:basedOn w:val="Underline4"/>
    <w:uiPriority w:val="99"/>
    <w:rsid w:val="00A742DC"/>
    <w:pPr>
      <w:ind w:left="2268"/>
    </w:pPr>
  </w:style>
  <w:style w:type="paragraph" w:styleId="CommentText">
    <w:name w:val="annotation text"/>
    <w:basedOn w:val="Normal"/>
    <w:link w:val="CommentTextChar"/>
    <w:uiPriority w:val="99"/>
    <w:semiHidden/>
    <w:rsid w:val="00A742D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paragraph" w:customStyle="1" w:styleId="Label">
    <w:name w:val="Label"/>
    <w:basedOn w:val="Normal"/>
    <w:uiPriority w:val="99"/>
    <w:rsid w:val="00A742DC"/>
    <w:pPr>
      <w:spacing w:before="120"/>
      <w:jc w:val="center"/>
    </w:pPr>
    <w:rPr>
      <w:rFonts w:cs="Arial"/>
      <w:sz w:val="18"/>
    </w:rPr>
  </w:style>
  <w:style w:type="paragraph" w:styleId="Caption">
    <w:name w:val="caption"/>
    <w:basedOn w:val="Normal"/>
    <w:next w:val="Normal"/>
    <w:uiPriority w:val="99"/>
    <w:qFormat/>
    <w:rsid w:val="00A742DC"/>
    <w:pPr>
      <w:spacing w:before="120" w:after="120"/>
    </w:pPr>
    <w:rPr>
      <w:b/>
      <w:bCs/>
      <w:lang w:val="en-GB"/>
    </w:rPr>
  </w:style>
  <w:style w:type="paragraph" w:customStyle="1" w:styleId="Bullet">
    <w:name w:val="Bullet"/>
    <w:basedOn w:val="Normal"/>
    <w:uiPriority w:val="99"/>
    <w:rsid w:val="00A742DC"/>
    <w:pPr>
      <w:numPr>
        <w:numId w:val="2"/>
      </w:numPr>
      <w:tabs>
        <w:tab w:val="clear" w:pos="360"/>
        <w:tab w:val="num" w:pos="792"/>
      </w:tabs>
      <w:ind w:left="792"/>
    </w:pPr>
    <w:rPr>
      <w:rFonts w:ascii="Tahoma" w:hAnsi="Tahoma"/>
    </w:rPr>
  </w:style>
  <w:style w:type="paragraph" w:customStyle="1" w:styleId="Subheading2">
    <w:name w:val="Subheading 2"/>
    <w:basedOn w:val="Subheading"/>
    <w:uiPriority w:val="99"/>
    <w:rsid w:val="00A742DC"/>
    <w:pPr>
      <w:spacing w:before="240"/>
      <w:ind w:left="567"/>
    </w:pPr>
    <w:rPr>
      <w:sz w:val="26"/>
    </w:rPr>
  </w:style>
  <w:style w:type="paragraph" w:customStyle="1" w:styleId="BoxText">
    <w:name w:val="Box Text"/>
    <w:basedOn w:val="Normal"/>
    <w:uiPriority w:val="99"/>
    <w:rsid w:val="00A742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851" w:right="851"/>
      <w:jc w:val="both"/>
    </w:pPr>
    <w:rPr>
      <w:rFonts w:ascii="Tahoma" w:hAnsi="Tahoma"/>
      <w:b/>
      <w:lang w:val="en-US"/>
    </w:rPr>
  </w:style>
  <w:style w:type="character" w:styleId="FollowedHyperlink">
    <w:name w:val="FollowedHyperlink"/>
    <w:basedOn w:val="DefaultParagraphFont"/>
    <w:uiPriority w:val="99"/>
    <w:rsid w:val="00A742DC"/>
    <w:rPr>
      <w:rFonts w:cs="Times New Roman"/>
      <w:color w:val="800080"/>
      <w:u w:val="single"/>
    </w:rPr>
  </w:style>
  <w:style w:type="paragraph" w:customStyle="1" w:styleId="Number">
    <w:name w:val="Number"/>
    <w:basedOn w:val="Normal"/>
    <w:uiPriority w:val="99"/>
    <w:rsid w:val="00A742DC"/>
    <w:pPr>
      <w:numPr>
        <w:numId w:val="7"/>
      </w:numPr>
      <w:tabs>
        <w:tab w:val="clear" w:pos="360"/>
        <w:tab w:val="num" w:pos="720"/>
      </w:tabs>
      <w:spacing w:before="40" w:after="40"/>
      <w:ind w:left="720"/>
    </w:pPr>
    <w:rPr>
      <w:rFonts w:ascii="Tahoma" w:hAnsi="Tahoma"/>
    </w:rPr>
  </w:style>
  <w:style w:type="character" w:customStyle="1" w:styleId="Regular">
    <w:name w:val="Regular"/>
    <w:basedOn w:val="DefaultParagraphFont"/>
    <w:uiPriority w:val="99"/>
    <w:rsid w:val="00A742DC"/>
    <w:rPr>
      <w:rFonts w:ascii="Times New Roman" w:hAnsi="Times New Roman" w:cs="Times New Roman"/>
      <w:sz w:val="24"/>
    </w:rPr>
  </w:style>
  <w:style w:type="paragraph" w:customStyle="1" w:styleId="Underline">
    <w:name w:val="Underline"/>
    <w:basedOn w:val="Normal"/>
    <w:uiPriority w:val="99"/>
    <w:rsid w:val="00A742DC"/>
    <w:pPr>
      <w:tabs>
        <w:tab w:val="right" w:leader="underscore" w:pos="9072"/>
      </w:tabs>
    </w:pPr>
  </w:style>
  <w:style w:type="character" w:styleId="Hyperlink">
    <w:name w:val="Hyperlink"/>
    <w:basedOn w:val="DefaultParagraphFont"/>
    <w:uiPriority w:val="99"/>
    <w:rsid w:val="00A742DC"/>
    <w:rPr>
      <w:rFonts w:cs="Times New Roman"/>
      <w:color w:val="0000FF"/>
      <w:u w:val="single"/>
    </w:rPr>
  </w:style>
  <w:style w:type="paragraph" w:customStyle="1" w:styleId="TableSubtitle">
    <w:name w:val="Table Subtitle"/>
    <w:basedOn w:val="TableTitle"/>
    <w:uiPriority w:val="99"/>
    <w:rsid w:val="00A742DC"/>
    <w:rPr>
      <w:rFonts w:ascii="Arial" w:hAnsi="Arial"/>
      <w:b/>
      <w:bCs/>
      <w:sz w:val="18"/>
    </w:rPr>
  </w:style>
  <w:style w:type="paragraph" w:customStyle="1" w:styleId="Definition">
    <w:name w:val="Definition"/>
    <w:basedOn w:val="Text1"/>
    <w:uiPriority w:val="99"/>
    <w:rsid w:val="00A742DC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42" w:right="175"/>
    </w:pPr>
  </w:style>
  <w:style w:type="paragraph" w:customStyle="1" w:styleId="NOTAS">
    <w:name w:val="NOTAS"/>
    <w:basedOn w:val="Normal"/>
    <w:uiPriority w:val="99"/>
    <w:rsid w:val="00A742DC"/>
    <w:pPr>
      <w:autoSpaceDE w:val="0"/>
      <w:autoSpaceDN w:val="0"/>
      <w:adjustRightInd w:val="0"/>
    </w:pPr>
    <w:rPr>
      <w:rFonts w:ascii="Helvetica" w:hAnsi="Helvetica"/>
      <w:b/>
      <w:bCs/>
      <w:i/>
      <w:iCs/>
      <w:sz w:val="18"/>
      <w:szCs w:val="18"/>
      <w:lang w:val="en-US"/>
    </w:rPr>
  </w:style>
  <w:style w:type="paragraph" w:customStyle="1" w:styleId="Numbered4">
    <w:name w:val="Numbered 4"/>
    <w:basedOn w:val="Numbered3"/>
    <w:uiPriority w:val="99"/>
    <w:rsid w:val="00A742DC"/>
    <w:pPr>
      <w:numPr>
        <w:numId w:val="0"/>
      </w:numPr>
      <w:tabs>
        <w:tab w:val="clear" w:pos="1474"/>
        <w:tab w:val="left" w:pos="1800"/>
      </w:tabs>
      <w:ind w:left="1800" w:hanging="326"/>
    </w:pPr>
  </w:style>
  <w:style w:type="paragraph" w:customStyle="1" w:styleId="Subheading3">
    <w:name w:val="Subheading 3"/>
    <w:basedOn w:val="Subheading2"/>
    <w:uiPriority w:val="99"/>
    <w:rsid w:val="00A742DC"/>
    <w:pPr>
      <w:ind w:left="1124"/>
    </w:pPr>
  </w:style>
  <w:style w:type="paragraph" w:customStyle="1" w:styleId="NORMAL0">
    <w:name w:val="NORMAL"/>
    <w:uiPriority w:val="99"/>
    <w:rsid w:val="00A742DC"/>
    <w:pPr>
      <w:keepLines/>
      <w:autoSpaceDE w:val="0"/>
      <w:autoSpaceDN w:val="0"/>
      <w:adjustRightInd w:val="0"/>
    </w:pPr>
    <w:rPr>
      <w:color w:val="000000"/>
      <w:sz w:val="20"/>
      <w:szCs w:val="24"/>
    </w:rPr>
  </w:style>
  <w:style w:type="paragraph" w:customStyle="1" w:styleId="Instructions">
    <w:name w:val="Instructions"/>
    <w:basedOn w:val="TableText"/>
    <w:uiPriority w:val="99"/>
    <w:rsid w:val="00A742DC"/>
  </w:style>
  <w:style w:type="character" w:customStyle="1" w:styleId="Small">
    <w:name w:val="Small"/>
    <w:basedOn w:val="DefaultParagraphFont"/>
    <w:uiPriority w:val="99"/>
    <w:rsid w:val="00A742DC"/>
    <w:rPr>
      <w:rFonts w:ascii="Times New Roman" w:hAnsi="Times New Roman" w:cs="Times New Roman"/>
      <w:sz w:val="16"/>
    </w:rPr>
  </w:style>
  <w:style w:type="paragraph" w:styleId="BlockText">
    <w:name w:val="Block Text"/>
    <w:basedOn w:val="Normal"/>
    <w:uiPriority w:val="99"/>
    <w:rsid w:val="00A742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440"/>
    </w:pPr>
    <w:rPr>
      <w:b/>
    </w:rPr>
  </w:style>
  <w:style w:type="paragraph" w:customStyle="1" w:styleId="Tab1">
    <w:name w:val="Tab1"/>
    <w:basedOn w:val="cuerpo"/>
    <w:uiPriority w:val="99"/>
    <w:rsid w:val="00A742D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left" w:pos="360"/>
      </w:tabs>
      <w:spacing w:before="0" w:after="0"/>
      <w:ind w:left="360" w:right="230" w:hanging="360"/>
    </w:pPr>
    <w:rPr>
      <w:rFonts w:ascii="Arial" w:hAnsi="Arial" w:cs="Arial"/>
    </w:rPr>
  </w:style>
  <w:style w:type="paragraph" w:customStyle="1" w:styleId="box">
    <w:name w:val="box"/>
    <w:basedOn w:val="NORMAL0"/>
    <w:uiPriority w:val="99"/>
    <w:rsid w:val="00A742DC"/>
  </w:style>
  <w:style w:type="paragraph" w:customStyle="1" w:styleId="Addressee">
    <w:name w:val="Addressee"/>
    <w:basedOn w:val="Normal"/>
    <w:uiPriority w:val="99"/>
    <w:rsid w:val="00A742DC"/>
    <w:pPr>
      <w:keepLines/>
    </w:pPr>
  </w:style>
  <w:style w:type="paragraph" w:customStyle="1" w:styleId="Subject">
    <w:name w:val="Subject"/>
    <w:basedOn w:val="Normal"/>
    <w:uiPriority w:val="99"/>
    <w:rsid w:val="00A742DC"/>
    <w:pPr>
      <w:keepLines/>
      <w:spacing w:before="60" w:after="60"/>
    </w:pPr>
    <w:rPr>
      <w:b/>
    </w:rPr>
  </w:style>
  <w:style w:type="paragraph" w:customStyle="1" w:styleId="TextPlain">
    <w:name w:val="Text Plain"/>
    <w:basedOn w:val="Normal"/>
    <w:uiPriority w:val="99"/>
    <w:rsid w:val="00A742DC"/>
  </w:style>
  <w:style w:type="paragraph" w:customStyle="1" w:styleId="TableText1">
    <w:name w:val="Table Text1"/>
    <w:basedOn w:val="Normal"/>
    <w:uiPriority w:val="99"/>
    <w:rsid w:val="00A742DC"/>
    <w:pPr>
      <w:keepLines/>
      <w:spacing w:before="60" w:after="60"/>
    </w:pPr>
  </w:style>
  <w:style w:type="paragraph" w:customStyle="1" w:styleId="TableTitle1">
    <w:name w:val="Table Title1"/>
    <w:basedOn w:val="TableText"/>
    <w:uiPriority w:val="99"/>
    <w:rsid w:val="00A742DC"/>
    <w:pPr>
      <w:keepLines/>
      <w:spacing w:before="60" w:after="60"/>
      <w:jc w:val="center"/>
    </w:pPr>
    <w:rPr>
      <w:rFonts w:cs="Times New Roman"/>
      <w:b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A742DC"/>
    <w:pPr>
      <w:keepLines/>
      <w:tabs>
        <w:tab w:val="left" w:pos="3240"/>
        <w:tab w:val="left" w:pos="5760"/>
      </w:tabs>
      <w:ind w:left="360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paragraph" w:customStyle="1" w:styleId="EvalTitle3">
    <w:name w:val="Eval Title3"/>
    <w:basedOn w:val="Normal"/>
    <w:uiPriority w:val="99"/>
    <w:rsid w:val="00A742DC"/>
    <w:pPr>
      <w:keepLines/>
      <w:jc w:val="center"/>
    </w:pPr>
    <w:rPr>
      <w:b/>
      <w:bCs/>
      <w:sz w:val="32"/>
    </w:rPr>
  </w:style>
  <w:style w:type="paragraph" w:customStyle="1" w:styleId="EvalPlain">
    <w:name w:val="Eval Plain"/>
    <w:basedOn w:val="TextPlain"/>
    <w:uiPriority w:val="99"/>
    <w:rsid w:val="00A742DC"/>
  </w:style>
  <w:style w:type="paragraph" w:customStyle="1" w:styleId="EvalSmallTitle">
    <w:name w:val="Eval Small Title"/>
    <w:basedOn w:val="BodyText"/>
    <w:uiPriority w:val="99"/>
    <w:rsid w:val="00A742DC"/>
    <w:pPr>
      <w:pageBreakBefore/>
      <w:spacing w:after="0"/>
      <w:jc w:val="center"/>
    </w:pPr>
    <w:rPr>
      <w:rFonts w:cs="Arial"/>
      <w:b/>
      <w:bCs/>
      <w:sz w:val="28"/>
    </w:rPr>
  </w:style>
  <w:style w:type="character" w:styleId="EndnoteReference">
    <w:name w:val="endnote reference"/>
    <w:basedOn w:val="DefaultParagraphFont"/>
    <w:uiPriority w:val="99"/>
    <w:semiHidden/>
    <w:rsid w:val="00A742DC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A742DC"/>
    <w:rPr>
      <w:rFonts w:cs="Arial"/>
      <w:b/>
      <w:bCs/>
      <w:szCs w:val="4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paragraph" w:styleId="BodyText3">
    <w:name w:val="Body Text 3"/>
    <w:basedOn w:val="Normal"/>
    <w:link w:val="BodyText3Char"/>
    <w:uiPriority w:val="99"/>
    <w:rsid w:val="00A742DC"/>
    <w:pPr>
      <w:autoSpaceDE w:val="0"/>
      <w:autoSpaceDN w:val="0"/>
      <w:adjustRightInd w:val="0"/>
      <w:jc w:val="center"/>
    </w:pPr>
    <w:rPr>
      <w:rFonts w:cs="Arial"/>
      <w:b/>
      <w:bCs/>
      <w:color w:val="000000"/>
      <w:szCs w:val="3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059B2"/>
    <w:rPr>
      <w:rFonts w:ascii="Arial" w:hAnsi="Arial" w:cs="Times New Roman"/>
      <w:sz w:val="16"/>
      <w:szCs w:val="16"/>
      <w:lang w:val="es-ES"/>
    </w:rPr>
  </w:style>
  <w:style w:type="paragraph" w:customStyle="1" w:styleId="heading21">
    <w:name w:val="heading 21"/>
    <w:basedOn w:val="Text1"/>
    <w:uiPriority w:val="99"/>
    <w:rsid w:val="00A742DC"/>
  </w:style>
  <w:style w:type="paragraph" w:styleId="FootnoteText">
    <w:name w:val="footnote text"/>
    <w:basedOn w:val="Normal"/>
    <w:link w:val="FootnoteTextChar"/>
    <w:uiPriority w:val="99"/>
    <w:semiHidden/>
    <w:rsid w:val="00A742DC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rsid w:val="00A742DC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A742DC"/>
  </w:style>
  <w:style w:type="paragraph" w:styleId="TOC2">
    <w:name w:val="toc 2"/>
    <w:basedOn w:val="Normal"/>
    <w:next w:val="Normal"/>
    <w:autoRedefine/>
    <w:uiPriority w:val="99"/>
    <w:semiHidden/>
    <w:rsid w:val="00A742DC"/>
    <w:pPr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A742DC"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A742DC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A742DC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A742DC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A742DC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A742DC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A742DC"/>
    <w:pPr>
      <w:ind w:left="1600"/>
    </w:pPr>
  </w:style>
  <w:style w:type="table" w:styleId="TableGrid">
    <w:name w:val="Table Grid"/>
    <w:basedOn w:val="TableNormal"/>
    <w:uiPriority w:val="99"/>
    <w:locked/>
    <w:rsid w:val="00E67D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74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CE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C4F93B985DD46A1F8C0BB5C160558" ma:contentTypeVersion="0" ma:contentTypeDescription="Crear nuevo documento." ma:contentTypeScope="" ma:versionID="505d6389ad1adcdcb167f3de7a74f07c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CFA3TTQ3VTST-28-7</_dlc_DocId>
    <_dlc_DocIdUrl xmlns="8f7f2b02-361a-46f8-9361-5c4aecfb9ebc">
      <Url>https://srvspamimg01.eastus.cloudapp.azure.com/_layouts/15/DocIdRedir.aspx?ID=CFA3TTQ3VTST-28-7</Url>
      <Description>CFA3TTQ3VTST-28-7</Description>
    </_dlc_DocIdUrl>
  </documentManagement>
</p:properties>
</file>

<file path=customXml/itemProps1.xml><?xml version="1.0" encoding="utf-8"?>
<ds:datastoreItem xmlns:ds="http://schemas.openxmlformats.org/officeDocument/2006/customXml" ds:itemID="{83FEFC74-A3F1-4D6A-B15E-5D746898C4E0}"/>
</file>

<file path=customXml/itemProps2.xml><?xml version="1.0" encoding="utf-8"?>
<ds:datastoreItem xmlns:ds="http://schemas.openxmlformats.org/officeDocument/2006/customXml" ds:itemID="{582E66D3-1819-4F04-B719-FF2DAA0C4286}"/>
</file>

<file path=customXml/itemProps3.xml><?xml version="1.0" encoding="utf-8"?>
<ds:datastoreItem xmlns:ds="http://schemas.openxmlformats.org/officeDocument/2006/customXml" ds:itemID="{466FE42A-23B9-475B-A2F5-ADA61BE4996F}"/>
</file>

<file path=customXml/itemProps4.xml><?xml version="1.0" encoding="utf-8"?>
<ds:datastoreItem xmlns:ds="http://schemas.openxmlformats.org/officeDocument/2006/customXml" ds:itemID="{419A6F67-EB4D-469E-8F4C-174935BDE6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1297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Procedimientos básicos para un SCI</vt:lpstr>
    </vt:vector>
  </TitlesOfParts>
  <Company>OFDA LAC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básicos para un SCI</dc:title>
  <dc:creator>Ricardo Berganza</dc:creator>
  <cp:lastModifiedBy>Xavier Salvador</cp:lastModifiedBy>
  <cp:revision>12</cp:revision>
  <cp:lastPrinted>2004-06-09T14:10:00Z</cp:lastPrinted>
  <dcterms:created xsi:type="dcterms:W3CDTF">2010-07-21T23:13:00Z</dcterms:created>
  <dcterms:modified xsi:type="dcterms:W3CDTF">2010-11-13T20:36:00Z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0x010100864C4F93B985DD46A1F8C0BB5C160558</vt:lpwstr>
  </property>
  <property fmtid="{D5CDD505-2E9C-101B-9397-08002B2CF9AE}" pid="3" name="_dlc_DocIdItemGuid">
    <vt:lpwstr>bc5ebdaa-2601-4676-9eda-3e036bce5920</vt:lpwstr>
  </property>
</Properties>
</file>